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80C" w:rsidRPr="001E5FA1" w:rsidRDefault="00CE3009" w:rsidP="001E5FA1">
      <w:pPr>
        <w:shd w:val="clear" w:color="auto" w:fill="8DB3E2" w:themeFill="text2" w:themeFillTint="66"/>
        <w:spacing w:after="0" w:line="240" w:lineRule="auto"/>
        <w:rPr>
          <w:b/>
          <w:lang w:val="en-US"/>
        </w:rPr>
      </w:pPr>
      <w:r>
        <w:rPr>
          <w:b/>
          <w:lang w:val="en-US"/>
        </w:rPr>
        <w:t>EUSDR</w:t>
      </w:r>
      <w:r w:rsidR="001E5FA1" w:rsidRPr="001E5FA1">
        <w:rPr>
          <w:b/>
          <w:lang w:val="en-US"/>
        </w:rPr>
        <w:t xml:space="preserve"> </w:t>
      </w:r>
      <w:r w:rsidR="00DC2BAA">
        <w:rPr>
          <w:b/>
          <w:lang w:val="en-US"/>
        </w:rPr>
        <w:t xml:space="preserve">PA3 </w:t>
      </w:r>
      <w:r w:rsidR="001E5FA1" w:rsidRPr="001E5FA1">
        <w:rPr>
          <w:b/>
          <w:lang w:val="en-US"/>
        </w:rPr>
        <w:t>CONFERENCE</w:t>
      </w:r>
    </w:p>
    <w:p w:rsidR="001E5FA1" w:rsidRDefault="001E5FA1" w:rsidP="001E5FA1">
      <w:pPr>
        <w:shd w:val="clear" w:color="auto" w:fill="8DB3E2" w:themeFill="text2" w:themeFillTint="66"/>
        <w:spacing w:after="0" w:line="240" w:lineRule="auto"/>
        <w:rPr>
          <w:b/>
          <w:lang w:val="en-US"/>
        </w:rPr>
      </w:pPr>
      <w:r w:rsidRPr="001E5FA1">
        <w:rPr>
          <w:b/>
          <w:lang w:val="en-US"/>
        </w:rPr>
        <w:t>17-18th of November, 2016</w:t>
      </w:r>
    </w:p>
    <w:p w:rsidR="00DC2BAA" w:rsidRPr="001E5FA1" w:rsidRDefault="00DC2BAA" w:rsidP="001E5FA1">
      <w:pPr>
        <w:shd w:val="clear" w:color="auto" w:fill="8DB3E2" w:themeFill="text2" w:themeFillTint="66"/>
        <w:spacing w:after="0" w:line="240" w:lineRule="auto"/>
        <w:rPr>
          <w:b/>
          <w:lang w:val="en-US"/>
        </w:rPr>
      </w:pPr>
    </w:p>
    <w:p w:rsidR="001E5FA1" w:rsidRDefault="001E5FA1" w:rsidP="001E5FA1">
      <w:pPr>
        <w:spacing w:after="0" w:line="240" w:lineRule="auto"/>
        <w:rPr>
          <w:lang w:val="en-US"/>
        </w:rPr>
      </w:pPr>
    </w:p>
    <w:p w:rsidR="001C621A" w:rsidRPr="001C621A" w:rsidRDefault="001C621A" w:rsidP="001E5FA1">
      <w:pPr>
        <w:spacing w:after="0" w:line="240" w:lineRule="auto"/>
        <w:rPr>
          <w:b/>
          <w:lang w:val="en-US"/>
        </w:rPr>
      </w:pPr>
      <w:r w:rsidRPr="005E52BF">
        <w:rPr>
          <w:b/>
          <w:lang w:val="en-US"/>
        </w:rPr>
        <w:t xml:space="preserve">Draft </w:t>
      </w:r>
      <w:r w:rsidR="005E52BF" w:rsidRPr="005E52BF">
        <w:rPr>
          <w:b/>
          <w:lang w:val="en-US"/>
        </w:rPr>
        <w:t>5</w:t>
      </w:r>
    </w:p>
    <w:p w:rsidR="001E5FA1" w:rsidRPr="001E5FA1" w:rsidRDefault="001E5FA1" w:rsidP="001E5FA1">
      <w:pPr>
        <w:pStyle w:val="ListParagraph"/>
        <w:numPr>
          <w:ilvl w:val="0"/>
          <w:numId w:val="2"/>
        </w:numPr>
        <w:shd w:val="clear" w:color="auto" w:fill="C6D9F1" w:themeFill="text2" w:themeFillTint="33"/>
        <w:spacing w:after="0" w:line="240" w:lineRule="auto"/>
        <w:rPr>
          <w:rFonts w:asciiTheme="minorHAnsi" w:hAnsiTheme="minorHAnsi"/>
          <w:b/>
        </w:rPr>
      </w:pPr>
      <w:r w:rsidRPr="001E5FA1">
        <w:rPr>
          <w:rFonts w:asciiTheme="minorHAnsi" w:hAnsiTheme="minorHAnsi"/>
          <w:b/>
        </w:rPr>
        <w:t xml:space="preserve">The </w:t>
      </w:r>
      <w:r w:rsidR="00E42EB8">
        <w:rPr>
          <w:rFonts w:asciiTheme="minorHAnsi" w:hAnsiTheme="minorHAnsi"/>
          <w:b/>
        </w:rPr>
        <w:t>Conference</w:t>
      </w:r>
      <w:r w:rsidR="00E42EB8" w:rsidRPr="001E5FA1">
        <w:rPr>
          <w:rFonts w:asciiTheme="minorHAnsi" w:hAnsiTheme="minorHAnsi"/>
          <w:b/>
        </w:rPr>
        <w:t xml:space="preserve"> </w:t>
      </w:r>
      <w:r w:rsidRPr="001E5FA1">
        <w:rPr>
          <w:rFonts w:asciiTheme="minorHAnsi" w:hAnsiTheme="minorHAnsi"/>
          <w:b/>
        </w:rPr>
        <w:t>Context</w:t>
      </w:r>
      <w:r w:rsidR="00E42EB8">
        <w:rPr>
          <w:rFonts w:asciiTheme="minorHAnsi" w:hAnsiTheme="minorHAnsi"/>
          <w:b/>
        </w:rPr>
        <w:t xml:space="preserve"> and Background </w:t>
      </w:r>
    </w:p>
    <w:p w:rsidR="00A4289F" w:rsidRDefault="00A4289F" w:rsidP="00A4289F">
      <w:pPr>
        <w:spacing w:after="0" w:line="240" w:lineRule="auto"/>
        <w:ind w:left="360"/>
      </w:pPr>
    </w:p>
    <w:p w:rsidR="00D318F7" w:rsidRDefault="00F06DC4" w:rsidP="006A6DE0">
      <w:pPr>
        <w:spacing w:before="120" w:after="120"/>
        <w:jc w:val="both"/>
      </w:pPr>
      <w:r>
        <w:t xml:space="preserve">During  </w:t>
      </w:r>
      <w:r w:rsidR="0088317A">
        <w:t xml:space="preserve">the </w:t>
      </w:r>
      <w:r w:rsidR="00E96B8C" w:rsidRPr="006A6DE0">
        <w:t xml:space="preserve">PA3 of </w:t>
      </w:r>
      <w:r w:rsidR="0088317A" w:rsidRPr="006A6DE0">
        <w:t xml:space="preserve">EUSDR  </w:t>
      </w:r>
      <w:r w:rsidR="005E52BF" w:rsidRPr="006A6DE0">
        <w:t>Steering Group meeting in Ruse (Bulgaria)</w:t>
      </w:r>
      <w:r w:rsidR="001A60F1">
        <w:t xml:space="preserve"> </w:t>
      </w:r>
      <w:r w:rsidR="005E52BF" w:rsidRPr="006A6DE0">
        <w:t>- June, 2015</w:t>
      </w:r>
      <w:r w:rsidR="00F97C9E" w:rsidRPr="006A6DE0">
        <w:t xml:space="preserve">, </w:t>
      </w:r>
      <w:r w:rsidR="00D318F7">
        <w:t xml:space="preserve">a draft concept note </w:t>
      </w:r>
      <w:r w:rsidR="00D318F7" w:rsidRPr="006A6DE0">
        <w:t xml:space="preserve">– </w:t>
      </w:r>
      <w:r w:rsidR="00D318F7" w:rsidRPr="006A6DE0">
        <w:rPr>
          <w:i/>
        </w:rPr>
        <w:t>The Danube Region and its World Heritage</w:t>
      </w:r>
      <w:r w:rsidR="00D318F7">
        <w:t xml:space="preserve"> </w:t>
      </w:r>
      <w:r w:rsidR="005E52BF">
        <w:t xml:space="preserve">was </w:t>
      </w:r>
      <w:r>
        <w:t xml:space="preserve">presented </w:t>
      </w:r>
      <w:r w:rsidR="005E52BF">
        <w:t>and discussed</w:t>
      </w:r>
      <w:r>
        <w:t xml:space="preserve">. </w:t>
      </w:r>
      <w:r w:rsidR="00D318F7">
        <w:t xml:space="preserve">The concept note highlighted the necessity to find a common approach for all the countries in the Danube region regarding </w:t>
      </w:r>
      <w:r w:rsidR="006A6DE0">
        <w:t xml:space="preserve">the </w:t>
      </w:r>
      <w:r w:rsidR="00D318F7">
        <w:t xml:space="preserve">cultural and natural heritage, its preservation and its management.  </w:t>
      </w:r>
    </w:p>
    <w:p w:rsidR="00A4289F" w:rsidRPr="001C68D6" w:rsidRDefault="00A4289F" w:rsidP="00A4289F">
      <w:pPr>
        <w:spacing w:before="120" w:after="120"/>
        <w:jc w:val="both"/>
      </w:pPr>
      <w:r w:rsidRPr="001C68D6">
        <w:t>The countries included in the Danube region contain a significant number of cultural and natural sites as well as immaterial features and traditions already recognized as World Heritage. Although these sites’ protection is generally ensured by the State Parties to the World Heritage Convention, specific problems for their conservation occur sometimes in relation to intensive tourism, over-restoration works, new inappropriate investments or uncorrelated private interventions that may harm their authenticity and context.</w:t>
      </w:r>
      <w:r w:rsidR="001C68D6">
        <w:t xml:space="preserve"> </w:t>
      </w:r>
      <w:r w:rsidRPr="001C68D6">
        <w:t>There is a significant discrepancy between the visibility and importance given to the sites included in the World Heritage and the sites and monuments included in the cultural heritage of the target countries, a common problem at global scale. The world heritage has become a brand that captures attention, to the detriment of the local heritage.</w:t>
      </w:r>
    </w:p>
    <w:p w:rsidR="00A4289F" w:rsidRPr="001C68D6" w:rsidRDefault="00A4289F" w:rsidP="00A4289F">
      <w:pPr>
        <w:spacing w:before="120" w:after="120"/>
        <w:jc w:val="both"/>
        <w:rPr>
          <w:rFonts w:cs="Arial"/>
          <w:szCs w:val="24"/>
        </w:rPr>
      </w:pPr>
      <w:r w:rsidRPr="001C68D6">
        <w:rPr>
          <w:rFonts w:cs="Arial"/>
          <w:szCs w:val="24"/>
        </w:rPr>
        <w:t xml:space="preserve">A thematic diversification of the tentative lists and national lists of the target countries is necessary, in order to identify new classes and types of </w:t>
      </w:r>
      <w:r w:rsidRPr="001C68D6">
        <w:rPr>
          <w:rFonts w:cs="Arial"/>
          <w:iCs/>
          <w:color w:val="000000"/>
          <w:szCs w:val="24"/>
          <w:shd w:val="clear" w:color="auto" w:fill="FFFFFF"/>
        </w:rPr>
        <w:t>cultural heritage to be assessed and promoted to WH status.</w:t>
      </w:r>
    </w:p>
    <w:p w:rsidR="00A4289F" w:rsidRPr="001C68D6" w:rsidRDefault="00A4289F" w:rsidP="00A4289F">
      <w:pPr>
        <w:spacing w:before="120" w:after="120"/>
        <w:jc w:val="both"/>
      </w:pPr>
      <w:r w:rsidRPr="001C68D6">
        <w:t xml:space="preserve">These problems could be prevented through better monitoring and management methods and regional cooperation could be a driver for identifying the best ways to do so at a regional level. </w:t>
      </w:r>
    </w:p>
    <w:p w:rsidR="00A4289F" w:rsidRDefault="00A4289F" w:rsidP="00A4289F">
      <w:pPr>
        <w:spacing w:before="120" w:after="120"/>
        <w:jc w:val="both"/>
      </w:pPr>
      <w:r w:rsidRPr="001C68D6">
        <w:t xml:space="preserve">The cultural diversity of the sites, their interconnections along the Danube as well as the necessity of their enhanced monitoring and management is encouraging a common approach that could integrate regional cooperation on several levels such as </w:t>
      </w:r>
      <w:r w:rsidRPr="006A6DE0">
        <w:rPr>
          <w:i/>
        </w:rPr>
        <w:t>cultural partnerships</w:t>
      </w:r>
      <w:r w:rsidRPr="001C68D6">
        <w:t xml:space="preserve"> for better monitoring and management of world heritage sites based on best practices or thematic &amp; high quality tourism routes based on the strong cultural interconnections in the region.</w:t>
      </w:r>
      <w:r w:rsidR="00B7611C" w:rsidRPr="001C68D6">
        <w:t xml:space="preserve"> </w:t>
      </w:r>
      <w:r w:rsidRPr="001C68D6">
        <w:t xml:space="preserve">Furthermore, the need of a relevant, balanced and credible </w:t>
      </w:r>
      <w:r w:rsidRPr="006A6DE0">
        <w:rPr>
          <w:i/>
        </w:rPr>
        <w:t>regional Tentative List for UNESCO World Heritage</w:t>
      </w:r>
      <w:r w:rsidRPr="001C68D6">
        <w:t xml:space="preserve"> is calling for cooperation in establishing the </w:t>
      </w:r>
      <w:r w:rsidRPr="006A6DE0">
        <w:rPr>
          <w:i/>
        </w:rPr>
        <w:t>National Tentative Lists</w:t>
      </w:r>
      <w:r w:rsidRPr="001C68D6">
        <w:t>, all the way through a regional harmonizing process strongly encouraged by UNESCO in the World Heritage Convention Operational Guidelines.</w:t>
      </w:r>
    </w:p>
    <w:p w:rsidR="00B7611C" w:rsidRPr="00523627" w:rsidRDefault="00B7611C" w:rsidP="00B7611C">
      <w:pPr>
        <w:spacing w:before="120" w:after="120"/>
        <w:rPr>
          <w:b/>
        </w:rPr>
      </w:pPr>
      <w:r w:rsidRPr="00523627">
        <w:rPr>
          <w:b/>
        </w:rPr>
        <w:t xml:space="preserve">Objectives and </w:t>
      </w:r>
      <w:r w:rsidR="005317FD" w:rsidRPr="00523627">
        <w:rPr>
          <w:b/>
        </w:rPr>
        <w:t xml:space="preserve">expected </w:t>
      </w:r>
      <w:r w:rsidRPr="00523627">
        <w:rPr>
          <w:b/>
        </w:rPr>
        <w:t>outcomes</w:t>
      </w:r>
      <w:r w:rsidR="001C68D6" w:rsidRPr="00523627">
        <w:rPr>
          <w:b/>
        </w:rPr>
        <w:t xml:space="preserve"> of the </w:t>
      </w:r>
      <w:r w:rsidR="00523627">
        <w:rPr>
          <w:b/>
        </w:rPr>
        <w:t xml:space="preserve">overall </w:t>
      </w:r>
      <w:r w:rsidR="001C68D6" w:rsidRPr="00523627">
        <w:rPr>
          <w:b/>
        </w:rPr>
        <w:t>concept</w:t>
      </w:r>
    </w:p>
    <w:p w:rsidR="00B7611C" w:rsidRPr="001C68D6" w:rsidRDefault="00B7611C" w:rsidP="00B7611C">
      <w:pPr>
        <w:pStyle w:val="ListParagraph"/>
        <w:numPr>
          <w:ilvl w:val="0"/>
          <w:numId w:val="17"/>
        </w:numPr>
        <w:spacing w:before="120"/>
        <w:rPr>
          <w:rFonts w:asciiTheme="minorHAnsi" w:hAnsiTheme="minorHAnsi" w:cs="Arial"/>
          <w:szCs w:val="24"/>
        </w:rPr>
      </w:pPr>
      <w:r w:rsidRPr="001C68D6">
        <w:rPr>
          <w:rFonts w:asciiTheme="minorHAnsi" w:hAnsiTheme="minorHAnsi" w:cs="Arial"/>
          <w:szCs w:val="24"/>
        </w:rPr>
        <w:t>The identification and setting up of the innovative models of good practice in the monitoring and integrated management of world heritage sites and/ or sites included on the tentative lists, which would work as a valuable regional instrument/model for heritage management along the Danube;</w:t>
      </w:r>
    </w:p>
    <w:p w:rsidR="00B7611C" w:rsidRPr="001C68D6" w:rsidRDefault="00B7611C" w:rsidP="00B7611C">
      <w:pPr>
        <w:pStyle w:val="ListParagraph"/>
        <w:numPr>
          <w:ilvl w:val="0"/>
          <w:numId w:val="17"/>
        </w:numPr>
        <w:spacing w:before="120"/>
        <w:rPr>
          <w:rFonts w:asciiTheme="minorHAnsi" w:hAnsiTheme="minorHAnsi" w:cs="Arial"/>
          <w:szCs w:val="24"/>
        </w:rPr>
      </w:pPr>
      <w:r w:rsidRPr="001C68D6">
        <w:rPr>
          <w:rFonts w:asciiTheme="minorHAnsi" w:hAnsiTheme="minorHAnsi" w:cs="Arial"/>
          <w:szCs w:val="24"/>
        </w:rPr>
        <w:t>The identification of new ways by which the attention generated by WH sites can be reflected on other sequences of the target countries’ cultural heritage;</w:t>
      </w:r>
    </w:p>
    <w:p w:rsidR="00CF18A2" w:rsidRPr="001C68D6" w:rsidRDefault="00B7611C" w:rsidP="00B7611C">
      <w:pPr>
        <w:pStyle w:val="ListParagraph"/>
        <w:numPr>
          <w:ilvl w:val="0"/>
          <w:numId w:val="17"/>
        </w:numPr>
        <w:spacing w:before="120"/>
        <w:rPr>
          <w:rFonts w:asciiTheme="minorHAnsi" w:hAnsiTheme="minorHAnsi" w:cs="Arial"/>
          <w:szCs w:val="24"/>
        </w:rPr>
      </w:pPr>
      <w:r w:rsidRPr="001C68D6">
        <w:rPr>
          <w:rFonts w:asciiTheme="minorHAnsi" w:hAnsiTheme="minorHAnsi" w:cs="Arial"/>
          <w:szCs w:val="24"/>
        </w:rPr>
        <w:t>The establishing of the better basis for harmonization between national tentative lists along the Danube, as requested by the World heritage convention and will enhance institutional cooperation in all World Heritage matters;</w:t>
      </w:r>
    </w:p>
    <w:p w:rsidR="00FC00D5" w:rsidRPr="001C68D6" w:rsidRDefault="00CF18A2" w:rsidP="00B7611C">
      <w:pPr>
        <w:pStyle w:val="ListParagraph"/>
        <w:numPr>
          <w:ilvl w:val="0"/>
          <w:numId w:val="17"/>
        </w:numPr>
        <w:spacing w:before="120"/>
        <w:rPr>
          <w:rFonts w:asciiTheme="minorHAnsi" w:hAnsiTheme="minorHAnsi" w:cs="Arial"/>
          <w:szCs w:val="24"/>
        </w:rPr>
      </w:pPr>
      <w:r w:rsidRPr="001C68D6">
        <w:rPr>
          <w:rFonts w:asciiTheme="minorHAnsi" w:hAnsiTheme="minorHAnsi" w:cs="Arial"/>
          <w:szCs w:val="24"/>
        </w:rPr>
        <w:lastRenderedPageBreak/>
        <w:t>The consolidation of</w:t>
      </w:r>
      <w:r w:rsidR="00B7611C" w:rsidRPr="001C68D6">
        <w:rPr>
          <w:rFonts w:asciiTheme="minorHAnsi" w:hAnsiTheme="minorHAnsi" w:cs="Arial"/>
          <w:szCs w:val="24"/>
        </w:rPr>
        <w:t xml:space="preserve"> the links between tourism and culture; to stimulate cultural tourism in connection to broad heritage destinations while thoroughly looking both at its opportunities and its threats, e.g. through activities of audit destination and standards design that ensure the protection of heritage monuments in situations where there are heavily increased tourist flo</w:t>
      </w:r>
      <w:r w:rsidR="00FC00D5" w:rsidRPr="001C68D6">
        <w:rPr>
          <w:rFonts w:asciiTheme="minorHAnsi" w:hAnsiTheme="minorHAnsi" w:cs="Arial"/>
          <w:szCs w:val="24"/>
        </w:rPr>
        <w:t>ws or other associated effects;</w:t>
      </w:r>
    </w:p>
    <w:p w:rsidR="001A60F1" w:rsidRDefault="00FC00D5" w:rsidP="001A60F1">
      <w:pPr>
        <w:pStyle w:val="ListParagraph"/>
        <w:numPr>
          <w:ilvl w:val="0"/>
          <w:numId w:val="17"/>
        </w:numPr>
        <w:spacing w:before="120"/>
        <w:rPr>
          <w:rFonts w:asciiTheme="minorHAnsi" w:hAnsiTheme="minorHAnsi" w:cs="Arial"/>
          <w:szCs w:val="24"/>
        </w:rPr>
      </w:pPr>
      <w:r w:rsidRPr="001C68D6">
        <w:rPr>
          <w:rFonts w:asciiTheme="minorHAnsi" w:hAnsiTheme="minorHAnsi" w:cs="Arial"/>
          <w:szCs w:val="24"/>
        </w:rPr>
        <w:t>The (re)activation</w:t>
      </w:r>
      <w:r w:rsidR="00B7611C" w:rsidRPr="001C68D6">
        <w:rPr>
          <w:rFonts w:asciiTheme="minorHAnsi" w:hAnsiTheme="minorHAnsi" w:cs="Arial"/>
          <w:szCs w:val="24"/>
        </w:rPr>
        <w:t xml:space="preserve"> and enhance</w:t>
      </w:r>
      <w:r w:rsidRPr="001C68D6">
        <w:rPr>
          <w:rFonts w:asciiTheme="minorHAnsi" w:hAnsiTheme="minorHAnsi" w:cs="Arial"/>
          <w:szCs w:val="24"/>
        </w:rPr>
        <w:t>ment of</w:t>
      </w:r>
      <w:r w:rsidR="00B7611C" w:rsidRPr="001C68D6">
        <w:rPr>
          <w:rFonts w:asciiTheme="minorHAnsi" w:hAnsiTheme="minorHAnsi" w:cs="Arial"/>
          <w:szCs w:val="24"/>
        </w:rPr>
        <w:t xml:space="preserve"> the connection between the heritage destination, the community around it and educated quality tourism. The dialogue between local authorities and the community should be stimulated through concrete measures and best practice sharing between project partners, in order to raise awareness and educate about the importance of cultural heritage, its protection and valorization.  </w:t>
      </w:r>
    </w:p>
    <w:p w:rsidR="008A2C73" w:rsidRPr="001A60F1" w:rsidRDefault="001A60F1" w:rsidP="001A60F1">
      <w:pPr>
        <w:spacing w:before="120"/>
        <w:ind w:left="360"/>
        <w:rPr>
          <w:rFonts w:cs="Arial"/>
          <w:szCs w:val="24"/>
        </w:rPr>
      </w:pPr>
      <w:r w:rsidRPr="001A60F1">
        <w:t xml:space="preserve">During last years, the </w:t>
      </w:r>
      <w:r w:rsidR="008A2C73" w:rsidRPr="001A60F1">
        <w:t xml:space="preserve">PA 3 of EUSDR </w:t>
      </w:r>
      <w:r w:rsidRPr="001A60F1">
        <w:t xml:space="preserve"> co-Coordinators </w:t>
      </w:r>
      <w:r w:rsidR="008A2C73" w:rsidRPr="001A60F1">
        <w:t>developed a series of activities in order to make important step</w:t>
      </w:r>
      <w:r>
        <w:t>s towards the achievement of the PA3</w:t>
      </w:r>
      <w:r w:rsidR="008A2C73" w:rsidRPr="001A60F1">
        <w:t xml:space="preserve"> targets (eg. Ministerial Conference in Tourism – Sofia, 2015, Danube Cultural Conference – Timișoara, 2015 etc.)</w:t>
      </w:r>
      <w:r w:rsidRPr="001A60F1">
        <w:t>. However, new challenges are always emerging and the necessity to find innovative solutions is a reality.</w:t>
      </w:r>
      <w:r>
        <w:t xml:space="preserve"> </w:t>
      </w:r>
    </w:p>
    <w:p w:rsidR="00DC2BAA" w:rsidRPr="00F43559" w:rsidRDefault="00DC2BAA" w:rsidP="00DC2BAA">
      <w:pPr>
        <w:spacing w:after="0" w:line="240" w:lineRule="auto"/>
        <w:rPr>
          <w:noProof/>
          <w:lang w:eastAsia="ro-RO"/>
        </w:rPr>
      </w:pPr>
    </w:p>
    <w:p w:rsidR="004B2F6B" w:rsidRPr="00EB253D" w:rsidRDefault="004B2F6B" w:rsidP="00EB253D">
      <w:pPr>
        <w:spacing w:after="0" w:line="240" w:lineRule="auto"/>
      </w:pPr>
    </w:p>
    <w:p w:rsidR="001E5FA1" w:rsidRPr="001E5FA1" w:rsidRDefault="001E5FA1" w:rsidP="001E5FA1">
      <w:pPr>
        <w:pStyle w:val="ListParagraph"/>
        <w:numPr>
          <w:ilvl w:val="0"/>
          <w:numId w:val="2"/>
        </w:numPr>
        <w:shd w:val="clear" w:color="auto" w:fill="C6D9F1" w:themeFill="text2" w:themeFillTint="33"/>
        <w:spacing w:after="0" w:line="240" w:lineRule="auto"/>
        <w:rPr>
          <w:rFonts w:asciiTheme="minorHAnsi" w:hAnsiTheme="minorHAnsi"/>
          <w:b/>
        </w:rPr>
      </w:pPr>
      <w:r w:rsidRPr="001E5FA1">
        <w:rPr>
          <w:rFonts w:asciiTheme="minorHAnsi" w:hAnsiTheme="minorHAnsi"/>
          <w:b/>
        </w:rPr>
        <w:t xml:space="preserve">The </w:t>
      </w:r>
      <w:r w:rsidR="00CE3009">
        <w:rPr>
          <w:rFonts w:asciiTheme="minorHAnsi" w:hAnsiTheme="minorHAnsi"/>
          <w:b/>
        </w:rPr>
        <w:t>EUSDR</w:t>
      </w:r>
      <w:r w:rsidR="00F4063C">
        <w:rPr>
          <w:rFonts w:asciiTheme="minorHAnsi" w:hAnsiTheme="minorHAnsi"/>
          <w:b/>
        </w:rPr>
        <w:t xml:space="preserve"> </w:t>
      </w:r>
      <w:r w:rsidR="00CE3009">
        <w:rPr>
          <w:rFonts w:asciiTheme="minorHAnsi" w:hAnsiTheme="minorHAnsi"/>
          <w:b/>
        </w:rPr>
        <w:t>PA</w:t>
      </w:r>
      <w:r w:rsidR="00F4063C">
        <w:rPr>
          <w:rFonts w:asciiTheme="minorHAnsi" w:hAnsiTheme="minorHAnsi"/>
          <w:b/>
        </w:rPr>
        <w:t xml:space="preserve">3 Conference </w:t>
      </w:r>
      <w:r w:rsidRPr="001E5FA1">
        <w:rPr>
          <w:rFonts w:asciiTheme="minorHAnsi" w:hAnsiTheme="minorHAnsi"/>
          <w:b/>
        </w:rPr>
        <w:t>Concept</w:t>
      </w:r>
    </w:p>
    <w:p w:rsidR="001E5FA1" w:rsidRDefault="001E5FA1" w:rsidP="001E5FA1">
      <w:pPr>
        <w:pStyle w:val="ListParagraph"/>
        <w:rPr>
          <w:rFonts w:asciiTheme="minorHAnsi" w:hAnsiTheme="minorHAnsi"/>
        </w:rPr>
      </w:pPr>
    </w:p>
    <w:p w:rsidR="00DC2BAA" w:rsidRDefault="00DC2BAA" w:rsidP="00DC2BAA">
      <w:pPr>
        <w:pStyle w:val="ListParagraph"/>
        <w:numPr>
          <w:ilvl w:val="1"/>
          <w:numId w:val="2"/>
        </w:numPr>
        <w:rPr>
          <w:rFonts w:asciiTheme="minorHAnsi" w:hAnsiTheme="minorHAnsi"/>
          <w:b/>
        </w:rPr>
      </w:pPr>
      <w:r w:rsidRPr="00523627">
        <w:rPr>
          <w:rFonts w:asciiTheme="minorHAnsi" w:hAnsiTheme="minorHAnsi"/>
          <w:b/>
        </w:rPr>
        <w:t>EUSDR PA3 Conference Concept</w:t>
      </w:r>
    </w:p>
    <w:p w:rsidR="001A60F1" w:rsidRDefault="001A60F1" w:rsidP="001A60F1">
      <w:pPr>
        <w:ind w:left="360"/>
      </w:pPr>
      <w:r>
        <w:t>The PA 3 of EUSDR Conference is a thematic event organised by the Romanian Ministry of Regional Development and Public Administration, with the large participation and support of the Romanian Ministry of Culture and the Interethni</w:t>
      </w:r>
      <w:r w:rsidR="0008425A">
        <w:t>c</w:t>
      </w:r>
      <w:r>
        <w:t xml:space="preserve"> Relations Departament.  </w:t>
      </w:r>
    </w:p>
    <w:p w:rsidR="00686E92" w:rsidRDefault="001A60F1" w:rsidP="0008425A">
      <w:pPr>
        <w:ind w:left="360"/>
      </w:pPr>
      <w:r>
        <w:t xml:space="preserve">It is expected that the event </w:t>
      </w:r>
      <w:r w:rsidR="00DC2BAA" w:rsidRPr="00A4289F">
        <w:t>directly and significantly contribute</w:t>
      </w:r>
      <w:r w:rsidR="0008425A">
        <w:t xml:space="preserve">s </w:t>
      </w:r>
      <w:r w:rsidR="00DC2BAA" w:rsidRPr="00A4289F">
        <w:t xml:space="preserve"> to the achievement of targets 05 </w:t>
      </w:r>
      <w:r w:rsidR="00DC2BAA" w:rsidRPr="00DC2BAA">
        <w:rPr>
          <w:i/>
        </w:rPr>
        <w:t>'To create a Blue Book on Danube cultural identity'</w:t>
      </w:r>
      <w:r w:rsidR="00DC2BAA" w:rsidRPr="00A4289F">
        <w:t xml:space="preserve"> and 03 </w:t>
      </w:r>
      <w:r w:rsidR="00DC2BAA" w:rsidRPr="00DC2BAA">
        <w:rPr>
          <w:i/>
        </w:rPr>
        <w:t>'Develop new support exis</w:t>
      </w:r>
      <w:r w:rsidR="00686E92">
        <w:rPr>
          <w:i/>
        </w:rPr>
        <w:t>t</w:t>
      </w:r>
      <w:r w:rsidR="00DC2BAA" w:rsidRPr="00DC2BAA">
        <w:rPr>
          <w:i/>
        </w:rPr>
        <w:t>ing Cultural Routes relevant in the Danube Region'</w:t>
      </w:r>
      <w:r w:rsidR="00DC2BAA" w:rsidRPr="00A4289F">
        <w:t xml:space="preserve"> of the PA3.</w:t>
      </w:r>
    </w:p>
    <w:p w:rsidR="00686E92" w:rsidRDefault="00686E92" w:rsidP="00DC2BAA">
      <w:pPr>
        <w:spacing w:after="0" w:line="240" w:lineRule="auto"/>
        <w:ind w:left="360"/>
        <w:jc w:val="both"/>
        <w:rPr>
          <w:noProof/>
          <w:lang w:eastAsia="ro-RO"/>
        </w:rPr>
      </w:pPr>
      <w:r>
        <w:rPr>
          <w:noProof/>
          <w:lang w:eastAsia="ro-RO"/>
        </w:rPr>
        <w:t xml:space="preserve">The conference concept relies on </w:t>
      </w:r>
      <w:r w:rsidRPr="006771BC">
        <w:rPr>
          <w:b/>
          <w:i/>
          <w:noProof/>
          <w:lang w:eastAsia="ro-RO"/>
        </w:rPr>
        <w:t>three components</w:t>
      </w:r>
      <w:r>
        <w:rPr>
          <w:noProof/>
          <w:lang w:eastAsia="ro-RO"/>
        </w:rPr>
        <w:t xml:space="preserve"> that work in an integrate way within the process of structuring </w:t>
      </w:r>
      <w:r w:rsidR="006771BC">
        <w:rPr>
          <w:noProof/>
          <w:lang w:eastAsia="ro-RO"/>
        </w:rPr>
        <w:t>and strengthening the cultural routes network in the Danube Region:</w:t>
      </w:r>
    </w:p>
    <w:p w:rsidR="006D4BA9" w:rsidRDefault="006771BC" w:rsidP="006D4BA9">
      <w:pPr>
        <w:pStyle w:val="ListParagraph"/>
        <w:numPr>
          <w:ilvl w:val="0"/>
          <w:numId w:val="18"/>
        </w:numPr>
        <w:spacing w:after="0" w:line="240" w:lineRule="auto"/>
        <w:rPr>
          <w:rFonts w:asciiTheme="minorHAnsi" w:hAnsiTheme="minorHAnsi"/>
          <w:noProof/>
          <w:lang w:eastAsia="ro-RO"/>
        </w:rPr>
      </w:pPr>
      <w:r w:rsidRPr="006771BC">
        <w:rPr>
          <w:rFonts w:asciiTheme="minorHAnsi" w:hAnsiTheme="minorHAnsi"/>
          <w:b/>
          <w:i/>
          <w:noProof/>
          <w:lang w:eastAsia="ro-RO"/>
        </w:rPr>
        <w:t>Expand the perspective upon the cultural tourism routes</w:t>
      </w:r>
      <w:r>
        <w:rPr>
          <w:rFonts w:asciiTheme="minorHAnsi" w:hAnsiTheme="minorHAnsi"/>
          <w:noProof/>
          <w:lang w:eastAsia="ro-RO"/>
        </w:rPr>
        <w:t xml:space="preserve">: from the punctual cultural heritage objectives network, towards the mixed cultural-natural </w:t>
      </w:r>
      <w:r w:rsidR="006D4BA9">
        <w:rPr>
          <w:rFonts w:asciiTheme="minorHAnsi" w:hAnsiTheme="minorHAnsi"/>
          <w:noProof/>
          <w:lang w:eastAsia="ro-RO"/>
        </w:rPr>
        <w:t>heritage</w:t>
      </w:r>
      <w:r>
        <w:rPr>
          <w:rFonts w:asciiTheme="minorHAnsi" w:hAnsiTheme="minorHAnsi"/>
          <w:noProof/>
          <w:lang w:eastAsia="ro-RO"/>
        </w:rPr>
        <w:t xml:space="preserve"> areas network,</w:t>
      </w:r>
      <w:r w:rsidR="006D4BA9">
        <w:rPr>
          <w:rFonts w:asciiTheme="minorHAnsi" w:hAnsiTheme="minorHAnsi"/>
          <w:noProof/>
          <w:lang w:eastAsia="ro-RO"/>
        </w:rPr>
        <w:t xml:space="preserve"> under the </w:t>
      </w:r>
      <w:r w:rsidR="006D4BA9" w:rsidRPr="006E4145">
        <w:rPr>
          <w:rFonts w:asciiTheme="minorHAnsi" w:hAnsiTheme="minorHAnsi"/>
        </w:rPr>
        <w:t>UNESCO Convention concerning the protection of the world cultural and natural heritage</w:t>
      </w:r>
      <w:r w:rsidR="006D4BA9">
        <w:rPr>
          <w:rFonts w:asciiTheme="minorHAnsi" w:hAnsiTheme="minorHAnsi"/>
        </w:rPr>
        <w:t>;</w:t>
      </w:r>
    </w:p>
    <w:p w:rsidR="0099658F" w:rsidRDefault="0099658F" w:rsidP="006D4BA9">
      <w:pPr>
        <w:pStyle w:val="ListParagraph"/>
        <w:numPr>
          <w:ilvl w:val="0"/>
          <w:numId w:val="18"/>
        </w:numPr>
        <w:spacing w:after="0" w:line="240" w:lineRule="auto"/>
        <w:rPr>
          <w:rFonts w:asciiTheme="minorHAnsi" w:hAnsiTheme="minorHAnsi"/>
          <w:noProof/>
          <w:lang w:eastAsia="ro-RO"/>
        </w:rPr>
      </w:pPr>
      <w:r w:rsidRPr="006771BC">
        <w:rPr>
          <w:rFonts w:asciiTheme="minorHAnsi" w:hAnsiTheme="minorHAnsi"/>
          <w:b/>
          <w:i/>
          <w:noProof/>
          <w:lang w:eastAsia="ro-RO"/>
        </w:rPr>
        <w:t>Examine the local communities roles within the susta</w:t>
      </w:r>
      <w:r w:rsidR="006771BC" w:rsidRPr="006771BC">
        <w:rPr>
          <w:rFonts w:asciiTheme="minorHAnsi" w:hAnsiTheme="minorHAnsi"/>
          <w:b/>
          <w:i/>
          <w:noProof/>
          <w:lang w:eastAsia="ro-RO"/>
        </w:rPr>
        <w:t>i</w:t>
      </w:r>
      <w:r w:rsidRPr="006771BC">
        <w:rPr>
          <w:rFonts w:asciiTheme="minorHAnsi" w:hAnsiTheme="minorHAnsi"/>
          <w:b/>
          <w:i/>
          <w:noProof/>
          <w:lang w:eastAsia="ro-RO"/>
        </w:rPr>
        <w:t xml:space="preserve">nable management of cultural </w:t>
      </w:r>
      <w:r w:rsidR="006771BC" w:rsidRPr="006771BC">
        <w:rPr>
          <w:rFonts w:asciiTheme="minorHAnsi" w:hAnsiTheme="minorHAnsi"/>
          <w:b/>
          <w:i/>
          <w:noProof/>
          <w:lang w:eastAsia="ro-RO"/>
        </w:rPr>
        <w:t>heritage within its environment</w:t>
      </w:r>
      <w:r>
        <w:rPr>
          <w:rFonts w:asciiTheme="minorHAnsi" w:hAnsiTheme="minorHAnsi"/>
          <w:noProof/>
          <w:lang w:eastAsia="ro-RO"/>
        </w:rPr>
        <w:t>, and relevant creative/smart relevant solutions</w:t>
      </w:r>
      <w:r w:rsidR="00DA5A9D">
        <w:rPr>
          <w:rFonts w:asciiTheme="minorHAnsi" w:hAnsiTheme="minorHAnsi"/>
          <w:noProof/>
          <w:lang w:eastAsia="ro-RO"/>
        </w:rPr>
        <w:t>, in support of both vivid cultural tourism routes, and higher quality of life</w:t>
      </w:r>
      <w:r>
        <w:rPr>
          <w:rFonts w:asciiTheme="minorHAnsi" w:hAnsiTheme="minorHAnsi"/>
          <w:noProof/>
          <w:lang w:eastAsia="ro-RO"/>
        </w:rPr>
        <w:t>;</w:t>
      </w:r>
    </w:p>
    <w:p w:rsidR="006D4BA9" w:rsidRPr="006D4BA9" w:rsidRDefault="0099658F" w:rsidP="006D4BA9">
      <w:pPr>
        <w:pStyle w:val="ListParagraph"/>
        <w:numPr>
          <w:ilvl w:val="0"/>
          <w:numId w:val="18"/>
        </w:numPr>
        <w:spacing w:after="0" w:line="240" w:lineRule="auto"/>
        <w:rPr>
          <w:rFonts w:asciiTheme="minorHAnsi" w:hAnsiTheme="minorHAnsi"/>
          <w:noProof/>
          <w:lang w:eastAsia="ro-RO"/>
        </w:rPr>
      </w:pPr>
      <w:r w:rsidRPr="006771BC">
        <w:rPr>
          <w:rFonts w:asciiTheme="minorHAnsi" w:hAnsiTheme="minorHAnsi"/>
          <w:b/>
          <w:i/>
          <w:noProof/>
          <w:lang w:eastAsia="ro-RO"/>
        </w:rPr>
        <w:t>Examine  the role of turis</w:t>
      </w:r>
      <w:r w:rsidR="00523627">
        <w:rPr>
          <w:rFonts w:asciiTheme="minorHAnsi" w:hAnsiTheme="minorHAnsi"/>
          <w:b/>
          <w:i/>
          <w:noProof/>
          <w:lang w:eastAsia="ro-RO"/>
        </w:rPr>
        <w:t>m related relevant</w:t>
      </w:r>
      <w:r w:rsidRPr="006771BC">
        <w:rPr>
          <w:rFonts w:asciiTheme="minorHAnsi" w:hAnsiTheme="minorHAnsi"/>
          <w:b/>
          <w:i/>
          <w:noProof/>
          <w:lang w:eastAsia="ro-RO"/>
        </w:rPr>
        <w:t xml:space="preserve"> economic development structures</w:t>
      </w:r>
      <w:r>
        <w:rPr>
          <w:rFonts w:asciiTheme="minorHAnsi" w:hAnsiTheme="minorHAnsi"/>
          <w:noProof/>
          <w:lang w:eastAsia="ro-RO"/>
        </w:rPr>
        <w:t xml:space="preserve">, as catalysts of cultural </w:t>
      </w:r>
      <w:r w:rsidR="006771BC">
        <w:rPr>
          <w:rFonts w:asciiTheme="minorHAnsi" w:hAnsiTheme="minorHAnsi"/>
          <w:noProof/>
          <w:lang w:eastAsia="ro-RO"/>
        </w:rPr>
        <w:t xml:space="preserve">tourism </w:t>
      </w:r>
      <w:r>
        <w:rPr>
          <w:rFonts w:asciiTheme="minorHAnsi" w:hAnsiTheme="minorHAnsi"/>
          <w:noProof/>
          <w:lang w:eastAsia="ro-RO"/>
        </w:rPr>
        <w:t>routes.</w:t>
      </w:r>
    </w:p>
    <w:p w:rsidR="0008425A" w:rsidRPr="00A95728" w:rsidRDefault="0008425A" w:rsidP="00A95728">
      <w:pPr>
        <w:pStyle w:val="ListParagraph"/>
        <w:ind w:left="1080"/>
        <w:rPr>
          <w:rFonts w:asciiTheme="minorHAnsi" w:hAnsiTheme="minorHAnsi"/>
          <w:b/>
          <w:i/>
        </w:rPr>
      </w:pPr>
    </w:p>
    <w:p w:rsidR="001E5FA1" w:rsidRPr="00A95728" w:rsidRDefault="00A95728" w:rsidP="001E5FA1">
      <w:pPr>
        <w:pStyle w:val="ListParagraph"/>
        <w:numPr>
          <w:ilvl w:val="1"/>
          <w:numId w:val="2"/>
        </w:numPr>
        <w:rPr>
          <w:rFonts w:asciiTheme="minorHAnsi" w:hAnsiTheme="minorHAnsi"/>
          <w:b/>
        </w:rPr>
      </w:pPr>
      <w:r>
        <w:rPr>
          <w:rFonts w:asciiTheme="minorHAnsi" w:hAnsiTheme="minorHAnsi"/>
          <w:b/>
        </w:rPr>
        <w:t>E</w:t>
      </w:r>
      <w:r w:rsidR="001E5FA1" w:rsidRPr="00A95728">
        <w:rPr>
          <w:rFonts w:asciiTheme="minorHAnsi" w:hAnsiTheme="minorHAnsi"/>
          <w:b/>
        </w:rPr>
        <w:t>xpected results</w:t>
      </w:r>
    </w:p>
    <w:p w:rsidR="00EA17F9" w:rsidRDefault="00EA17F9" w:rsidP="00EA17F9">
      <w:pPr>
        <w:pStyle w:val="ListParagraph"/>
        <w:numPr>
          <w:ilvl w:val="0"/>
          <w:numId w:val="4"/>
        </w:numPr>
        <w:rPr>
          <w:rFonts w:asciiTheme="minorHAnsi" w:hAnsiTheme="minorHAnsi"/>
        </w:rPr>
      </w:pPr>
      <w:r>
        <w:rPr>
          <w:rFonts w:asciiTheme="minorHAnsi" w:hAnsiTheme="minorHAnsi"/>
        </w:rPr>
        <w:t>Technical substantiations of approaching cultura</w:t>
      </w:r>
      <w:r w:rsidR="00640A96">
        <w:rPr>
          <w:rFonts w:asciiTheme="minorHAnsi" w:hAnsiTheme="minorHAnsi"/>
        </w:rPr>
        <w:t>l tourism routes as a matter of:</w:t>
      </w:r>
    </w:p>
    <w:p w:rsidR="00640A96" w:rsidRDefault="00640A96" w:rsidP="00640A96">
      <w:pPr>
        <w:pStyle w:val="ListParagraph"/>
        <w:numPr>
          <w:ilvl w:val="1"/>
          <w:numId w:val="4"/>
        </w:numPr>
        <w:rPr>
          <w:rFonts w:asciiTheme="minorHAnsi" w:hAnsiTheme="minorHAnsi"/>
        </w:rPr>
      </w:pPr>
      <w:r>
        <w:rPr>
          <w:rFonts w:asciiTheme="minorHAnsi" w:hAnsiTheme="minorHAnsi"/>
        </w:rPr>
        <w:t>better engaging the existing cultural patrimony within the cultural routes, and expanding the perspective from the existing objectives to the mixed heritage areas;</w:t>
      </w:r>
    </w:p>
    <w:p w:rsidR="00640A96" w:rsidRDefault="00640A96" w:rsidP="00640A96">
      <w:pPr>
        <w:pStyle w:val="ListParagraph"/>
        <w:numPr>
          <w:ilvl w:val="1"/>
          <w:numId w:val="4"/>
        </w:numPr>
        <w:rPr>
          <w:rFonts w:asciiTheme="minorHAnsi" w:hAnsiTheme="minorHAnsi"/>
        </w:rPr>
      </w:pPr>
      <w:r>
        <w:rPr>
          <w:rFonts w:asciiTheme="minorHAnsi" w:hAnsiTheme="minorHAnsi"/>
        </w:rPr>
        <w:lastRenderedPageBreak/>
        <w:t xml:space="preserve">community development and commitment towards </w:t>
      </w:r>
      <w:r w:rsidR="00F961BD">
        <w:rPr>
          <w:rFonts w:asciiTheme="minorHAnsi" w:hAnsiTheme="minorHAnsi"/>
        </w:rPr>
        <w:t xml:space="preserve">a </w:t>
      </w:r>
      <w:r>
        <w:rPr>
          <w:rFonts w:asciiTheme="minorHAnsi" w:hAnsiTheme="minorHAnsi"/>
        </w:rPr>
        <w:t>sound management of the mixed heritage</w:t>
      </w:r>
      <w:r w:rsidR="00F961BD">
        <w:rPr>
          <w:rFonts w:asciiTheme="minorHAnsi" w:hAnsiTheme="minorHAnsi"/>
        </w:rPr>
        <w:t>, based on inter-sectoral approach</w:t>
      </w:r>
      <w:r>
        <w:rPr>
          <w:rFonts w:asciiTheme="minorHAnsi" w:hAnsiTheme="minorHAnsi"/>
        </w:rPr>
        <w:t>;</w:t>
      </w:r>
    </w:p>
    <w:p w:rsidR="00EA17F9" w:rsidRDefault="00EA17F9" w:rsidP="00EA17F9">
      <w:pPr>
        <w:pStyle w:val="ListParagraph"/>
        <w:numPr>
          <w:ilvl w:val="1"/>
          <w:numId w:val="4"/>
        </w:numPr>
        <w:rPr>
          <w:rFonts w:asciiTheme="minorHAnsi" w:hAnsiTheme="minorHAnsi"/>
        </w:rPr>
      </w:pPr>
      <w:proofErr w:type="gramStart"/>
      <w:r>
        <w:rPr>
          <w:rFonts w:asciiTheme="minorHAnsi" w:hAnsiTheme="minorHAnsi"/>
        </w:rPr>
        <w:t>local/regional</w:t>
      </w:r>
      <w:proofErr w:type="gramEnd"/>
      <w:r>
        <w:rPr>
          <w:rFonts w:asciiTheme="minorHAnsi" w:hAnsiTheme="minorHAnsi"/>
        </w:rPr>
        <w:t xml:space="preserve"> economic </w:t>
      </w:r>
      <w:r w:rsidR="00F961BD">
        <w:rPr>
          <w:rFonts w:asciiTheme="minorHAnsi" w:hAnsiTheme="minorHAnsi"/>
        </w:rPr>
        <w:t xml:space="preserve">sustainable </w:t>
      </w:r>
      <w:r>
        <w:rPr>
          <w:rFonts w:asciiTheme="minorHAnsi" w:hAnsiTheme="minorHAnsi"/>
        </w:rPr>
        <w:t>development</w:t>
      </w:r>
      <w:r w:rsidR="00F961BD">
        <w:rPr>
          <w:rFonts w:asciiTheme="minorHAnsi" w:hAnsiTheme="minorHAnsi"/>
        </w:rPr>
        <w:t xml:space="preserve"> and competitiveness</w:t>
      </w:r>
      <w:r w:rsidR="00640A96">
        <w:rPr>
          <w:rFonts w:asciiTheme="minorHAnsi" w:hAnsiTheme="minorHAnsi"/>
        </w:rPr>
        <w:t xml:space="preserve"> </w:t>
      </w:r>
      <w:r w:rsidR="00F961BD">
        <w:rPr>
          <w:rFonts w:asciiTheme="minorHAnsi" w:hAnsiTheme="minorHAnsi"/>
        </w:rPr>
        <w:t>through</w:t>
      </w:r>
      <w:r w:rsidR="00A95728">
        <w:rPr>
          <w:rFonts w:asciiTheme="minorHAnsi" w:hAnsiTheme="minorHAnsi"/>
        </w:rPr>
        <w:t xml:space="preserve"> smart cultural management</w:t>
      </w:r>
      <w:r w:rsidR="00F961BD">
        <w:rPr>
          <w:rFonts w:asciiTheme="minorHAnsi" w:hAnsiTheme="minorHAnsi"/>
        </w:rPr>
        <w:t>.</w:t>
      </w:r>
    </w:p>
    <w:p w:rsidR="00EA17F9" w:rsidRDefault="00751487" w:rsidP="00EA17F9">
      <w:pPr>
        <w:pStyle w:val="ListParagraph"/>
        <w:numPr>
          <w:ilvl w:val="0"/>
          <w:numId w:val="4"/>
        </w:numPr>
        <w:rPr>
          <w:rFonts w:asciiTheme="minorHAnsi" w:hAnsiTheme="minorHAnsi"/>
        </w:rPr>
      </w:pPr>
      <w:r>
        <w:rPr>
          <w:rFonts w:asciiTheme="minorHAnsi" w:hAnsiTheme="minorHAnsi"/>
        </w:rPr>
        <w:t>G</w:t>
      </w:r>
      <w:r w:rsidR="00EA17F9">
        <w:rPr>
          <w:rFonts w:asciiTheme="minorHAnsi" w:hAnsiTheme="minorHAnsi"/>
        </w:rPr>
        <w:t>ood practices/ experiences regarding topics as following</w:t>
      </w:r>
    </w:p>
    <w:p w:rsidR="00030A1C" w:rsidRDefault="00030A1C" w:rsidP="00030A1C">
      <w:pPr>
        <w:pStyle w:val="ListParagraph"/>
        <w:numPr>
          <w:ilvl w:val="1"/>
          <w:numId w:val="4"/>
        </w:numPr>
        <w:rPr>
          <w:rFonts w:asciiTheme="minorHAnsi" w:hAnsiTheme="minorHAnsi"/>
        </w:rPr>
      </w:pPr>
      <w:r>
        <w:rPr>
          <w:rFonts w:asciiTheme="minorHAnsi" w:hAnsiTheme="minorHAnsi"/>
        </w:rPr>
        <w:t>the relevance of shifting from punctual cultural heritage netwo</w:t>
      </w:r>
      <w:r w:rsidR="00E21F7C">
        <w:rPr>
          <w:rFonts w:asciiTheme="minorHAnsi" w:hAnsiTheme="minorHAnsi"/>
        </w:rPr>
        <w:t>r</w:t>
      </w:r>
      <w:r>
        <w:rPr>
          <w:rFonts w:asciiTheme="minorHAnsi" w:hAnsiTheme="minorHAnsi"/>
        </w:rPr>
        <w:t>k to the mixed cultural-natural heritage, in support of cultural rou</w:t>
      </w:r>
      <w:r w:rsidR="00E21F7C">
        <w:rPr>
          <w:rFonts w:asciiTheme="minorHAnsi" w:hAnsiTheme="minorHAnsi"/>
        </w:rPr>
        <w:t>tes strengthening</w:t>
      </w:r>
    </w:p>
    <w:p w:rsidR="00030A1C" w:rsidRDefault="00030A1C" w:rsidP="00030A1C">
      <w:pPr>
        <w:pStyle w:val="ListParagraph"/>
        <w:numPr>
          <w:ilvl w:val="1"/>
          <w:numId w:val="4"/>
        </w:numPr>
        <w:rPr>
          <w:rFonts w:asciiTheme="minorHAnsi" w:hAnsiTheme="minorHAnsi"/>
        </w:rPr>
      </w:pPr>
      <w:r>
        <w:rPr>
          <w:rFonts w:asciiTheme="minorHAnsi" w:hAnsiTheme="minorHAnsi"/>
        </w:rPr>
        <w:t>the extent to which the cultural routes make sense/ activate/ contribute to the other EUSDR PA-s</w:t>
      </w:r>
    </w:p>
    <w:p w:rsidR="00EA17F9" w:rsidRDefault="00EA17F9" w:rsidP="00EA17F9">
      <w:pPr>
        <w:pStyle w:val="ListParagraph"/>
        <w:numPr>
          <w:ilvl w:val="1"/>
          <w:numId w:val="4"/>
        </w:numPr>
        <w:rPr>
          <w:rFonts w:asciiTheme="minorHAnsi" w:hAnsiTheme="minorHAnsi"/>
        </w:rPr>
      </w:pPr>
      <w:r>
        <w:rPr>
          <w:rFonts w:asciiTheme="minorHAnsi" w:hAnsiTheme="minorHAnsi"/>
        </w:rPr>
        <w:t>local communities management of the cultural heritage objectives, and mixed heritage areas</w:t>
      </w:r>
    </w:p>
    <w:p w:rsidR="00EA17F9" w:rsidRDefault="00EA17F9" w:rsidP="00EA17F9">
      <w:pPr>
        <w:pStyle w:val="ListParagraph"/>
        <w:numPr>
          <w:ilvl w:val="1"/>
          <w:numId w:val="4"/>
        </w:numPr>
        <w:rPr>
          <w:rFonts w:asciiTheme="minorHAnsi" w:hAnsiTheme="minorHAnsi"/>
        </w:rPr>
      </w:pPr>
      <w:r>
        <w:rPr>
          <w:rFonts w:asciiTheme="minorHAnsi" w:hAnsiTheme="minorHAnsi"/>
        </w:rPr>
        <w:t xml:space="preserve">sustainable and competitive communities regeneration through (sound and) creative management of the mixed cultural and natural heritage, tourism </w:t>
      </w:r>
      <w:r w:rsidR="001F23EC">
        <w:rPr>
          <w:rFonts w:asciiTheme="minorHAnsi" w:hAnsiTheme="minorHAnsi"/>
        </w:rPr>
        <w:t>development</w:t>
      </w:r>
      <w:r>
        <w:rPr>
          <w:rFonts w:asciiTheme="minorHAnsi" w:hAnsiTheme="minorHAnsi"/>
        </w:rPr>
        <w:t xml:space="preserve"> etc</w:t>
      </w:r>
    </w:p>
    <w:p w:rsidR="00EA17F9" w:rsidRDefault="00EA17F9" w:rsidP="00EA17F9">
      <w:pPr>
        <w:pStyle w:val="ListParagraph"/>
        <w:numPr>
          <w:ilvl w:val="1"/>
          <w:numId w:val="4"/>
        </w:numPr>
        <w:rPr>
          <w:rFonts w:asciiTheme="minorHAnsi" w:hAnsiTheme="minorHAnsi"/>
        </w:rPr>
      </w:pPr>
      <w:r>
        <w:rPr>
          <w:rFonts w:asciiTheme="minorHAnsi" w:hAnsiTheme="minorHAnsi"/>
        </w:rPr>
        <w:t xml:space="preserve">the extent to which tourism </w:t>
      </w:r>
      <w:r w:rsidR="001F23EC">
        <w:rPr>
          <w:rFonts w:asciiTheme="minorHAnsi" w:hAnsiTheme="minorHAnsi"/>
        </w:rPr>
        <w:t>economic structures</w:t>
      </w:r>
      <w:r>
        <w:rPr>
          <w:rFonts w:asciiTheme="minorHAnsi" w:hAnsiTheme="minorHAnsi"/>
        </w:rPr>
        <w:t xml:space="preserve"> contribute to catalyze the cultural routes </w:t>
      </w:r>
    </w:p>
    <w:p w:rsidR="006E4145" w:rsidRDefault="006E4145" w:rsidP="006E4145">
      <w:pPr>
        <w:pStyle w:val="ListParagraph"/>
        <w:numPr>
          <w:ilvl w:val="0"/>
          <w:numId w:val="4"/>
        </w:numPr>
        <w:rPr>
          <w:rFonts w:asciiTheme="minorHAnsi" w:hAnsiTheme="minorHAnsi"/>
        </w:rPr>
      </w:pPr>
      <w:r>
        <w:rPr>
          <w:rFonts w:asciiTheme="minorHAnsi" w:hAnsiTheme="minorHAnsi"/>
        </w:rPr>
        <w:t>Identifying the potential of st</w:t>
      </w:r>
      <w:r w:rsidR="00A95728">
        <w:rPr>
          <w:rFonts w:asciiTheme="minorHAnsi" w:hAnsiTheme="minorHAnsi"/>
        </w:rPr>
        <w:t xml:space="preserve">ructuring a Danube Region </w:t>
      </w:r>
      <w:r>
        <w:rPr>
          <w:rFonts w:asciiTheme="minorHAnsi" w:hAnsiTheme="minorHAnsi"/>
        </w:rPr>
        <w:t xml:space="preserve">natural and cultural heritage areas network, in support of cultural-natural/thematic/etc tourism (based on </w:t>
      </w:r>
      <w:r w:rsidRPr="00F4063C">
        <w:rPr>
          <w:rFonts w:asciiTheme="minorHAnsi" w:hAnsiTheme="minorHAnsi"/>
        </w:rPr>
        <w:t>World Heritage Convention</w:t>
      </w:r>
      <w:r>
        <w:rPr>
          <w:rFonts w:asciiTheme="minorHAnsi" w:hAnsiTheme="minorHAnsi"/>
        </w:rPr>
        <w:t xml:space="preserve"> Areas Network approaching)</w:t>
      </w:r>
    </w:p>
    <w:p w:rsidR="006E4145" w:rsidRDefault="00055C0B" w:rsidP="006E4145">
      <w:pPr>
        <w:pStyle w:val="ListParagraph"/>
        <w:numPr>
          <w:ilvl w:val="0"/>
          <w:numId w:val="4"/>
        </w:numPr>
        <w:rPr>
          <w:rFonts w:asciiTheme="minorHAnsi" w:hAnsiTheme="minorHAnsi"/>
        </w:rPr>
      </w:pPr>
      <w:r>
        <w:rPr>
          <w:rFonts w:asciiTheme="minorHAnsi" w:hAnsiTheme="minorHAnsi"/>
        </w:rPr>
        <w:t>Identifying ways to connect and to integrate various relevant initiative</w:t>
      </w:r>
      <w:r w:rsidR="00751487">
        <w:rPr>
          <w:rFonts w:asciiTheme="minorHAnsi" w:hAnsiTheme="minorHAnsi"/>
        </w:rPr>
        <w:t>s</w:t>
      </w:r>
      <w:r>
        <w:rPr>
          <w:rFonts w:asciiTheme="minorHAnsi" w:hAnsiTheme="minorHAnsi"/>
        </w:rPr>
        <w:t xml:space="preserve"> regarding valuable territories within the Danube Region (to maximize impact and minimize resources allocation)</w:t>
      </w:r>
      <w:r w:rsidR="00751487">
        <w:rPr>
          <w:rFonts w:asciiTheme="minorHAnsi" w:hAnsiTheme="minorHAnsi"/>
        </w:rPr>
        <w:t>;</w:t>
      </w:r>
    </w:p>
    <w:p w:rsidR="006E4145" w:rsidRDefault="00022FDE" w:rsidP="006E4145">
      <w:pPr>
        <w:pStyle w:val="ListParagraph"/>
        <w:numPr>
          <w:ilvl w:val="0"/>
          <w:numId w:val="4"/>
        </w:numPr>
        <w:rPr>
          <w:rFonts w:asciiTheme="minorHAnsi" w:hAnsiTheme="minorHAnsi"/>
        </w:rPr>
      </w:pPr>
      <w:r>
        <w:rPr>
          <w:rFonts w:asciiTheme="minorHAnsi" w:hAnsiTheme="minorHAnsi"/>
        </w:rPr>
        <w:t xml:space="preserve">Sketch </w:t>
      </w:r>
      <w:r w:rsidR="005E5182">
        <w:rPr>
          <w:rFonts w:asciiTheme="minorHAnsi" w:hAnsiTheme="minorHAnsi"/>
        </w:rPr>
        <w:t xml:space="preserve">with partners </w:t>
      </w:r>
      <w:r>
        <w:rPr>
          <w:rFonts w:asciiTheme="minorHAnsi" w:hAnsiTheme="minorHAnsi"/>
        </w:rPr>
        <w:t xml:space="preserve">the potential </w:t>
      </w:r>
      <w:r w:rsidR="009C054F">
        <w:rPr>
          <w:rFonts w:asciiTheme="minorHAnsi" w:hAnsiTheme="minorHAnsi"/>
        </w:rPr>
        <w:t>approach/</w:t>
      </w:r>
      <w:r>
        <w:rPr>
          <w:rFonts w:asciiTheme="minorHAnsi" w:hAnsiTheme="minorHAnsi"/>
        </w:rPr>
        <w:t>calendar</w:t>
      </w:r>
      <w:r w:rsidR="001D2C6D">
        <w:rPr>
          <w:rFonts w:asciiTheme="minorHAnsi" w:hAnsiTheme="minorHAnsi"/>
        </w:rPr>
        <w:t>/plan</w:t>
      </w:r>
      <w:r>
        <w:rPr>
          <w:rFonts w:asciiTheme="minorHAnsi" w:hAnsiTheme="minorHAnsi"/>
        </w:rPr>
        <w:t xml:space="preserve"> of</w:t>
      </w:r>
      <w:r w:rsidR="006E4145">
        <w:rPr>
          <w:rFonts w:asciiTheme="minorHAnsi" w:hAnsiTheme="minorHAnsi"/>
        </w:rPr>
        <w:t xml:space="preserve"> the process of mapping the </w:t>
      </w:r>
      <w:r>
        <w:rPr>
          <w:rFonts w:asciiTheme="minorHAnsi" w:hAnsiTheme="minorHAnsi"/>
        </w:rPr>
        <w:t xml:space="preserve">mixed natural and cultural </w:t>
      </w:r>
      <w:r w:rsidR="006E4145">
        <w:rPr>
          <w:rFonts w:asciiTheme="minorHAnsi" w:hAnsiTheme="minorHAnsi"/>
        </w:rPr>
        <w:t xml:space="preserve">network, </w:t>
      </w:r>
      <w:r w:rsidR="009C054F">
        <w:rPr>
          <w:rFonts w:asciiTheme="minorHAnsi" w:hAnsiTheme="minorHAnsi"/>
        </w:rPr>
        <w:t xml:space="preserve">and of tourism </w:t>
      </w:r>
      <w:r w:rsidR="001F23EC">
        <w:rPr>
          <w:rFonts w:asciiTheme="minorHAnsi" w:hAnsiTheme="minorHAnsi"/>
        </w:rPr>
        <w:t>development</w:t>
      </w:r>
      <w:r w:rsidR="009C054F">
        <w:rPr>
          <w:rFonts w:asciiTheme="minorHAnsi" w:hAnsiTheme="minorHAnsi"/>
        </w:rPr>
        <w:t xml:space="preserve">, </w:t>
      </w:r>
      <w:r w:rsidR="006E4145">
        <w:rPr>
          <w:rFonts w:asciiTheme="minorHAnsi" w:hAnsiTheme="minorHAnsi"/>
        </w:rPr>
        <w:t>at the scale of Danub</w:t>
      </w:r>
      <w:r w:rsidR="00751487">
        <w:rPr>
          <w:rFonts w:asciiTheme="minorHAnsi" w:hAnsiTheme="minorHAnsi"/>
        </w:rPr>
        <w:t>e Region.</w:t>
      </w:r>
    </w:p>
    <w:p w:rsidR="0008425A" w:rsidRPr="00F961BD" w:rsidRDefault="0008425A" w:rsidP="0008425A">
      <w:pPr>
        <w:pStyle w:val="ListParagraph"/>
        <w:numPr>
          <w:ilvl w:val="1"/>
          <w:numId w:val="2"/>
        </w:numPr>
        <w:rPr>
          <w:rFonts w:asciiTheme="minorHAnsi" w:hAnsiTheme="minorHAnsi"/>
          <w:b/>
        </w:rPr>
      </w:pPr>
      <w:r>
        <w:rPr>
          <w:rFonts w:asciiTheme="minorHAnsi" w:hAnsiTheme="minorHAnsi"/>
          <w:b/>
        </w:rPr>
        <w:t>Conference</w:t>
      </w:r>
      <w:r w:rsidRPr="00F961BD">
        <w:rPr>
          <w:rFonts w:asciiTheme="minorHAnsi" w:hAnsiTheme="minorHAnsi"/>
          <w:b/>
        </w:rPr>
        <w:t xml:space="preserve"> Structure </w:t>
      </w:r>
    </w:p>
    <w:p w:rsidR="0008425A" w:rsidRDefault="0008425A" w:rsidP="0008425A">
      <w:pPr>
        <w:pStyle w:val="ListParagraph"/>
        <w:numPr>
          <w:ilvl w:val="0"/>
          <w:numId w:val="4"/>
        </w:numPr>
        <w:rPr>
          <w:rFonts w:asciiTheme="minorHAnsi" w:hAnsiTheme="minorHAnsi"/>
        </w:rPr>
      </w:pPr>
      <w:r>
        <w:rPr>
          <w:rFonts w:asciiTheme="minorHAnsi" w:hAnsiTheme="minorHAnsi"/>
        </w:rPr>
        <w:t>Day 1</w:t>
      </w:r>
    </w:p>
    <w:p w:rsidR="0008425A" w:rsidRDefault="0008425A" w:rsidP="0008425A">
      <w:pPr>
        <w:pStyle w:val="ListParagraph"/>
        <w:numPr>
          <w:ilvl w:val="1"/>
          <w:numId w:val="4"/>
        </w:numPr>
        <w:rPr>
          <w:rFonts w:asciiTheme="minorHAnsi" w:hAnsiTheme="minorHAnsi"/>
        </w:rPr>
      </w:pPr>
      <w:r>
        <w:rPr>
          <w:rFonts w:asciiTheme="minorHAnsi" w:hAnsiTheme="minorHAnsi"/>
        </w:rPr>
        <w:t>Plenary session: open speeches, the conference framework, presentations regarding the relevant approaches</w:t>
      </w:r>
    </w:p>
    <w:p w:rsidR="0008425A" w:rsidRDefault="0008425A" w:rsidP="0008425A">
      <w:pPr>
        <w:pStyle w:val="ListParagraph"/>
        <w:numPr>
          <w:ilvl w:val="1"/>
          <w:numId w:val="4"/>
        </w:numPr>
        <w:rPr>
          <w:rFonts w:asciiTheme="minorHAnsi" w:hAnsiTheme="minorHAnsi"/>
        </w:rPr>
      </w:pPr>
      <w:r>
        <w:rPr>
          <w:rFonts w:asciiTheme="minorHAnsi" w:hAnsiTheme="minorHAnsi"/>
        </w:rPr>
        <w:t xml:space="preserve">3 Parallel Workshops on example of good practices: </w:t>
      </w:r>
      <w:r>
        <w:rPr>
          <w:rFonts w:asciiTheme="minorHAnsi" w:hAnsiTheme="minorHAnsi"/>
        </w:rPr>
        <w:tab/>
      </w:r>
    </w:p>
    <w:p w:rsidR="0008425A" w:rsidRDefault="0008425A" w:rsidP="0008425A">
      <w:pPr>
        <w:pStyle w:val="ListParagraph"/>
        <w:numPr>
          <w:ilvl w:val="2"/>
          <w:numId w:val="4"/>
        </w:numPr>
        <w:rPr>
          <w:rFonts w:asciiTheme="minorHAnsi" w:hAnsiTheme="minorHAnsi"/>
        </w:rPr>
      </w:pPr>
      <w:r>
        <w:rPr>
          <w:rFonts w:asciiTheme="minorHAnsi" w:hAnsiTheme="minorHAnsi"/>
        </w:rPr>
        <w:t>cultural routes development based on the mixed WH Convention approaching, and the other EUSDR PA-s contributions/relevance;</w:t>
      </w:r>
    </w:p>
    <w:p w:rsidR="0008425A" w:rsidRDefault="0008425A" w:rsidP="0008425A">
      <w:pPr>
        <w:pStyle w:val="ListParagraph"/>
        <w:numPr>
          <w:ilvl w:val="2"/>
          <w:numId w:val="4"/>
        </w:numPr>
        <w:rPr>
          <w:rFonts w:asciiTheme="minorHAnsi" w:hAnsiTheme="minorHAnsi"/>
        </w:rPr>
      </w:pPr>
      <w:r>
        <w:rPr>
          <w:rFonts w:asciiTheme="minorHAnsi" w:hAnsiTheme="minorHAnsi"/>
        </w:rPr>
        <w:t>communities working together and managing the cultural patrimony in support of steering the cultural tourism routes;</w:t>
      </w:r>
    </w:p>
    <w:p w:rsidR="0008425A" w:rsidRDefault="00A95728" w:rsidP="0008425A">
      <w:pPr>
        <w:pStyle w:val="ListParagraph"/>
        <w:numPr>
          <w:ilvl w:val="2"/>
          <w:numId w:val="4"/>
        </w:numPr>
        <w:rPr>
          <w:rFonts w:asciiTheme="minorHAnsi" w:hAnsiTheme="minorHAnsi"/>
        </w:rPr>
      </w:pPr>
      <w:r>
        <w:rPr>
          <w:rFonts w:asciiTheme="minorHAnsi" w:hAnsiTheme="minorHAnsi"/>
        </w:rPr>
        <w:t>Tourism</w:t>
      </w:r>
      <w:r w:rsidR="0008425A">
        <w:rPr>
          <w:rFonts w:asciiTheme="minorHAnsi" w:hAnsiTheme="minorHAnsi"/>
        </w:rPr>
        <w:t xml:space="preserve"> economic structures relevance for the cultural routes.</w:t>
      </w:r>
    </w:p>
    <w:p w:rsidR="0008425A" w:rsidRPr="001F1F37" w:rsidRDefault="0008425A" w:rsidP="0008425A">
      <w:pPr>
        <w:pStyle w:val="ListParagraph"/>
        <w:numPr>
          <w:ilvl w:val="0"/>
          <w:numId w:val="4"/>
        </w:numPr>
        <w:rPr>
          <w:rFonts w:asciiTheme="minorHAnsi" w:hAnsiTheme="minorHAnsi"/>
        </w:rPr>
      </w:pPr>
      <w:r>
        <w:rPr>
          <w:rFonts w:asciiTheme="minorHAnsi" w:hAnsiTheme="minorHAnsi"/>
        </w:rPr>
        <w:t>Day 2: Study Visit</w:t>
      </w:r>
    </w:p>
    <w:p w:rsidR="0008425A" w:rsidRDefault="0008425A" w:rsidP="0008425A">
      <w:pPr>
        <w:pStyle w:val="ListParagraph"/>
        <w:ind w:left="1800"/>
        <w:rPr>
          <w:rFonts w:asciiTheme="minorHAnsi" w:hAnsiTheme="minorHAnsi"/>
        </w:rPr>
      </w:pPr>
    </w:p>
    <w:p w:rsidR="00A95728" w:rsidRDefault="00A95728" w:rsidP="0008425A">
      <w:pPr>
        <w:pStyle w:val="ListParagraph"/>
        <w:ind w:left="1800"/>
        <w:rPr>
          <w:rFonts w:asciiTheme="minorHAnsi" w:hAnsiTheme="minorHAnsi"/>
        </w:rPr>
      </w:pPr>
    </w:p>
    <w:p w:rsidR="001E5FA1" w:rsidRPr="00A95728" w:rsidRDefault="001E5FA1" w:rsidP="001E5FA1">
      <w:pPr>
        <w:pStyle w:val="ListParagraph"/>
        <w:numPr>
          <w:ilvl w:val="1"/>
          <w:numId w:val="2"/>
        </w:numPr>
        <w:rPr>
          <w:rFonts w:asciiTheme="minorHAnsi" w:hAnsiTheme="minorHAnsi"/>
          <w:b/>
        </w:rPr>
      </w:pPr>
      <w:r w:rsidRPr="00A95728">
        <w:rPr>
          <w:rFonts w:asciiTheme="minorHAnsi" w:hAnsiTheme="minorHAnsi"/>
          <w:b/>
        </w:rPr>
        <w:lastRenderedPageBreak/>
        <w:t>Value added</w:t>
      </w:r>
    </w:p>
    <w:p w:rsidR="005E5182" w:rsidRPr="002A50EE" w:rsidRDefault="005E5182" w:rsidP="002A50EE">
      <w:pPr>
        <w:pStyle w:val="ListParagraph"/>
        <w:numPr>
          <w:ilvl w:val="0"/>
          <w:numId w:val="9"/>
        </w:numPr>
        <w:rPr>
          <w:rFonts w:asciiTheme="minorHAnsi" w:hAnsiTheme="minorHAnsi"/>
        </w:rPr>
      </w:pPr>
      <w:r w:rsidRPr="002A50EE">
        <w:rPr>
          <w:rFonts w:asciiTheme="minorHAnsi" w:hAnsiTheme="minorHAnsi"/>
        </w:rPr>
        <w:t xml:space="preserve">Natural and cultural patrimony creative capitalization as </w:t>
      </w:r>
      <w:r w:rsidR="00BB01E2">
        <w:rPr>
          <w:rFonts w:asciiTheme="minorHAnsi" w:hAnsiTheme="minorHAnsi"/>
        </w:rPr>
        <w:t>structural component of</w:t>
      </w:r>
      <w:r w:rsidRPr="002A50EE">
        <w:rPr>
          <w:rFonts w:asciiTheme="minorHAnsi" w:hAnsiTheme="minorHAnsi"/>
        </w:rPr>
        <w:t xml:space="preserve"> tourism, contribute</w:t>
      </w:r>
      <w:r w:rsidR="00BB01E2">
        <w:rPr>
          <w:rFonts w:asciiTheme="minorHAnsi" w:hAnsiTheme="minorHAnsi"/>
        </w:rPr>
        <w:t>s</w:t>
      </w:r>
      <w:r w:rsidRPr="002A50EE">
        <w:rPr>
          <w:rFonts w:asciiTheme="minorHAnsi" w:hAnsiTheme="minorHAnsi"/>
        </w:rPr>
        <w:t xml:space="preserve"> to</w:t>
      </w:r>
      <w:r w:rsidR="002A50EE">
        <w:rPr>
          <w:rFonts w:asciiTheme="minorHAnsi" w:hAnsiTheme="minorHAnsi"/>
        </w:rPr>
        <w:t>:</w:t>
      </w:r>
      <w:r w:rsidRPr="002A50EE">
        <w:rPr>
          <w:rFonts w:asciiTheme="minorHAnsi" w:hAnsiTheme="minorHAnsi"/>
        </w:rPr>
        <w:t xml:space="preserve"> </w:t>
      </w:r>
    </w:p>
    <w:p w:rsidR="001C621A" w:rsidRDefault="001C621A" w:rsidP="002A50EE">
      <w:pPr>
        <w:pStyle w:val="ListParagraph"/>
        <w:numPr>
          <w:ilvl w:val="0"/>
          <w:numId w:val="3"/>
        </w:numPr>
        <w:rPr>
          <w:rFonts w:asciiTheme="minorHAnsi" w:hAnsiTheme="minorHAnsi"/>
        </w:rPr>
      </w:pPr>
      <w:r>
        <w:rPr>
          <w:rFonts w:asciiTheme="minorHAnsi" w:hAnsiTheme="minorHAnsi"/>
        </w:rPr>
        <w:t>catalyzing the cooperation and the structuring of tourism business with cultural routes;</w:t>
      </w:r>
    </w:p>
    <w:p w:rsidR="005E5182" w:rsidRDefault="005E5182" w:rsidP="002A50EE">
      <w:pPr>
        <w:pStyle w:val="ListParagraph"/>
        <w:numPr>
          <w:ilvl w:val="0"/>
          <w:numId w:val="3"/>
        </w:numPr>
        <w:rPr>
          <w:rFonts w:asciiTheme="minorHAnsi" w:hAnsiTheme="minorHAnsi"/>
        </w:rPr>
      </w:pPr>
      <w:r>
        <w:rPr>
          <w:rFonts w:asciiTheme="minorHAnsi" w:hAnsiTheme="minorHAnsi"/>
        </w:rPr>
        <w:t>develop communities understanding of the history, environment and economy;</w:t>
      </w:r>
    </w:p>
    <w:p w:rsidR="005E5182" w:rsidRDefault="005E5182" w:rsidP="002A50EE">
      <w:pPr>
        <w:pStyle w:val="ListParagraph"/>
        <w:numPr>
          <w:ilvl w:val="0"/>
          <w:numId w:val="3"/>
        </w:numPr>
        <w:rPr>
          <w:rFonts w:asciiTheme="minorHAnsi" w:hAnsiTheme="minorHAnsi"/>
        </w:rPr>
      </w:pPr>
      <w:r>
        <w:rPr>
          <w:rFonts w:asciiTheme="minorHAnsi" w:hAnsiTheme="minorHAnsi"/>
        </w:rPr>
        <w:t xml:space="preserve">develop communities networks, based on thematic areas, sharing of experience, tourism </w:t>
      </w:r>
      <w:r w:rsidR="001F23EC">
        <w:rPr>
          <w:rFonts w:asciiTheme="minorHAnsi" w:hAnsiTheme="minorHAnsi"/>
        </w:rPr>
        <w:t>development</w:t>
      </w:r>
      <w:r>
        <w:rPr>
          <w:rFonts w:asciiTheme="minorHAnsi" w:hAnsiTheme="minorHAnsi"/>
        </w:rPr>
        <w:t xml:space="preserve"> structuring etc;</w:t>
      </w:r>
    </w:p>
    <w:p w:rsidR="005E5182" w:rsidRDefault="005E5182" w:rsidP="002A50EE">
      <w:pPr>
        <w:pStyle w:val="ListParagraph"/>
        <w:numPr>
          <w:ilvl w:val="0"/>
          <w:numId w:val="3"/>
        </w:numPr>
        <w:rPr>
          <w:rFonts w:asciiTheme="minorHAnsi" w:hAnsiTheme="minorHAnsi"/>
        </w:rPr>
      </w:pPr>
      <w:r>
        <w:rPr>
          <w:rFonts w:asciiTheme="minorHAnsi" w:hAnsiTheme="minorHAnsi"/>
        </w:rPr>
        <w:t>develop mentalities based on fresh perspectives upon of the known environments;</w:t>
      </w:r>
    </w:p>
    <w:p w:rsidR="005E5182" w:rsidRDefault="005E5182" w:rsidP="002A50EE">
      <w:pPr>
        <w:pStyle w:val="ListParagraph"/>
        <w:numPr>
          <w:ilvl w:val="0"/>
          <w:numId w:val="3"/>
        </w:numPr>
        <w:rPr>
          <w:rFonts w:asciiTheme="minorHAnsi" w:hAnsiTheme="minorHAnsi"/>
        </w:rPr>
      </w:pPr>
      <w:r>
        <w:rPr>
          <w:rFonts w:asciiTheme="minorHAnsi" w:hAnsiTheme="minorHAnsi"/>
        </w:rPr>
        <w:t>communities</w:t>
      </w:r>
      <w:r w:rsidR="00B745B6">
        <w:rPr>
          <w:rFonts w:asciiTheme="minorHAnsi" w:hAnsiTheme="minorHAnsi"/>
        </w:rPr>
        <w:t>'</w:t>
      </w:r>
      <w:r>
        <w:rPr>
          <w:rFonts w:asciiTheme="minorHAnsi" w:hAnsiTheme="minorHAnsi"/>
        </w:rPr>
        <w:t xml:space="preserve"> </w:t>
      </w:r>
      <w:r w:rsidR="001C621A">
        <w:rPr>
          <w:rFonts w:asciiTheme="minorHAnsi" w:hAnsiTheme="minorHAnsi"/>
        </w:rPr>
        <w:t>economic development, see EU Urban Agenda, priority theme 11</w:t>
      </w:r>
      <w:r>
        <w:rPr>
          <w:rFonts w:asciiTheme="minorHAnsi" w:hAnsiTheme="minorHAnsi"/>
        </w:rPr>
        <w:t>.</w:t>
      </w:r>
      <w:r w:rsidR="00B745B6">
        <w:rPr>
          <w:rFonts w:asciiTheme="minorHAnsi" w:hAnsiTheme="minorHAnsi"/>
        </w:rPr>
        <w:t xml:space="preserve"> </w:t>
      </w:r>
    </w:p>
    <w:p w:rsidR="0036148D" w:rsidRDefault="002A50EE" w:rsidP="0036148D">
      <w:pPr>
        <w:pStyle w:val="ListParagraph"/>
        <w:numPr>
          <w:ilvl w:val="0"/>
          <w:numId w:val="9"/>
        </w:numPr>
        <w:rPr>
          <w:rFonts w:asciiTheme="minorHAnsi" w:hAnsiTheme="minorHAnsi"/>
        </w:rPr>
      </w:pPr>
      <w:r w:rsidRPr="002A50EE">
        <w:rPr>
          <w:rFonts w:asciiTheme="minorHAnsi" w:hAnsiTheme="minorHAnsi"/>
        </w:rPr>
        <w:t>Natural and cultural patrimony creative capitalization</w:t>
      </w:r>
      <w:r w:rsidR="00412FEC">
        <w:rPr>
          <w:rFonts w:asciiTheme="minorHAnsi" w:hAnsiTheme="minorHAnsi"/>
        </w:rPr>
        <w:t xml:space="preserve"> relevance to the other PA</w:t>
      </w:r>
      <w:r>
        <w:rPr>
          <w:rFonts w:asciiTheme="minorHAnsi" w:hAnsiTheme="minorHAnsi"/>
        </w:rPr>
        <w:t>-s</w:t>
      </w:r>
      <w:r w:rsidR="001C1D0B">
        <w:rPr>
          <w:rFonts w:asciiTheme="minorHAnsi" w:hAnsiTheme="minorHAnsi"/>
        </w:rPr>
        <w:t>.</w:t>
      </w:r>
    </w:p>
    <w:p w:rsidR="001D2D7B" w:rsidRPr="0036148D" w:rsidRDefault="001D2D7B" w:rsidP="001D2D7B">
      <w:pPr>
        <w:pStyle w:val="ListParagraph"/>
        <w:ind w:left="1428"/>
        <w:rPr>
          <w:rFonts w:asciiTheme="minorHAnsi" w:hAnsiTheme="minorHAnsi"/>
        </w:rPr>
      </w:pPr>
    </w:p>
    <w:p w:rsidR="001E5FA1" w:rsidRDefault="001E5FA1" w:rsidP="001E5FA1">
      <w:pPr>
        <w:pStyle w:val="ListParagraph"/>
        <w:numPr>
          <w:ilvl w:val="0"/>
          <w:numId w:val="2"/>
        </w:numPr>
        <w:shd w:val="clear" w:color="auto" w:fill="C6D9F1" w:themeFill="text2" w:themeFillTint="33"/>
        <w:spacing w:after="0" w:line="240" w:lineRule="auto"/>
        <w:rPr>
          <w:rFonts w:asciiTheme="minorHAnsi" w:hAnsiTheme="minorHAnsi"/>
          <w:b/>
        </w:rPr>
      </w:pPr>
      <w:r w:rsidRPr="001E5FA1">
        <w:rPr>
          <w:rFonts w:asciiTheme="minorHAnsi" w:hAnsiTheme="minorHAnsi"/>
          <w:b/>
        </w:rPr>
        <w:t>The tentative Agenda</w:t>
      </w:r>
    </w:p>
    <w:p w:rsidR="003F14B7" w:rsidRDefault="003F14B7" w:rsidP="00B745B6">
      <w:pPr>
        <w:rPr>
          <w:b/>
        </w:rPr>
      </w:pPr>
    </w:p>
    <w:p w:rsidR="00B745B6" w:rsidRPr="00B745B6" w:rsidRDefault="00B745B6" w:rsidP="00B745B6">
      <w:pPr>
        <w:rPr>
          <w:b/>
        </w:rPr>
      </w:pPr>
      <w:r w:rsidRPr="00B745B6">
        <w:rPr>
          <w:b/>
        </w:rPr>
        <w:t>November 17, 2016</w:t>
      </w:r>
      <w:r>
        <w:rPr>
          <w:b/>
        </w:rPr>
        <w:t xml:space="preserve"> – Conference Section</w:t>
      </w:r>
    </w:p>
    <w:tbl>
      <w:tblPr>
        <w:tblStyle w:val="TableGrid"/>
        <w:tblW w:w="9889" w:type="dxa"/>
        <w:tblLook w:val="04A0"/>
      </w:tblPr>
      <w:tblGrid>
        <w:gridCol w:w="1526"/>
        <w:gridCol w:w="3402"/>
        <w:gridCol w:w="4961"/>
      </w:tblGrid>
      <w:tr w:rsidR="00B745B6" w:rsidRPr="00B745B6" w:rsidTr="001C7417">
        <w:trPr>
          <w:tblHeader/>
        </w:trPr>
        <w:tc>
          <w:tcPr>
            <w:tcW w:w="1526" w:type="dxa"/>
            <w:shd w:val="clear" w:color="auto" w:fill="C2D69B" w:themeFill="accent3" w:themeFillTint="99"/>
          </w:tcPr>
          <w:p w:rsidR="00B745B6" w:rsidRPr="00B745B6" w:rsidRDefault="00B745B6" w:rsidP="00B745B6">
            <w:pPr>
              <w:rPr>
                <w:b/>
              </w:rPr>
            </w:pPr>
            <w:r w:rsidRPr="00B745B6">
              <w:rPr>
                <w:b/>
              </w:rPr>
              <w:t xml:space="preserve">Timing </w:t>
            </w:r>
          </w:p>
        </w:tc>
        <w:tc>
          <w:tcPr>
            <w:tcW w:w="3402" w:type="dxa"/>
            <w:shd w:val="clear" w:color="auto" w:fill="C2D69B" w:themeFill="accent3" w:themeFillTint="99"/>
          </w:tcPr>
          <w:p w:rsidR="00B745B6" w:rsidRPr="00B745B6" w:rsidRDefault="00B745B6" w:rsidP="00B745B6">
            <w:pPr>
              <w:rPr>
                <w:b/>
              </w:rPr>
            </w:pPr>
            <w:r w:rsidRPr="00B745B6">
              <w:rPr>
                <w:b/>
              </w:rPr>
              <w:t xml:space="preserve">Presentation </w:t>
            </w:r>
          </w:p>
        </w:tc>
        <w:tc>
          <w:tcPr>
            <w:tcW w:w="4961" w:type="dxa"/>
            <w:shd w:val="clear" w:color="auto" w:fill="C2D69B" w:themeFill="accent3" w:themeFillTint="99"/>
          </w:tcPr>
          <w:p w:rsidR="00B745B6" w:rsidRPr="00B745B6" w:rsidRDefault="00B745B6" w:rsidP="00B745B6">
            <w:pPr>
              <w:rPr>
                <w:b/>
              </w:rPr>
            </w:pPr>
            <w:r w:rsidRPr="00B745B6">
              <w:rPr>
                <w:b/>
              </w:rPr>
              <w:t>Expected result</w:t>
            </w:r>
            <w:r w:rsidR="009E01FC">
              <w:rPr>
                <w:b/>
              </w:rPr>
              <w:t>s</w:t>
            </w:r>
          </w:p>
        </w:tc>
      </w:tr>
      <w:tr w:rsidR="00B745B6" w:rsidTr="001C7417">
        <w:tc>
          <w:tcPr>
            <w:tcW w:w="1526" w:type="dxa"/>
          </w:tcPr>
          <w:p w:rsidR="00B745B6" w:rsidRDefault="00C66F7C" w:rsidP="00B745B6">
            <w:r>
              <w:t>9:30-10:00</w:t>
            </w:r>
          </w:p>
        </w:tc>
        <w:tc>
          <w:tcPr>
            <w:tcW w:w="3402" w:type="dxa"/>
          </w:tcPr>
          <w:p w:rsidR="00B745B6" w:rsidRDefault="00C66F7C" w:rsidP="00B745B6">
            <w:r>
              <w:t>Participants registration and coffee</w:t>
            </w:r>
          </w:p>
        </w:tc>
        <w:tc>
          <w:tcPr>
            <w:tcW w:w="4961" w:type="dxa"/>
          </w:tcPr>
          <w:p w:rsidR="00B745B6" w:rsidRDefault="00B745B6" w:rsidP="00B745B6"/>
        </w:tc>
      </w:tr>
      <w:tr w:rsidR="00B745B6" w:rsidTr="001C7417">
        <w:tc>
          <w:tcPr>
            <w:tcW w:w="1526" w:type="dxa"/>
          </w:tcPr>
          <w:p w:rsidR="00B745B6" w:rsidRDefault="00C66F7C" w:rsidP="00B745B6">
            <w:r>
              <w:t>10:00-11:00</w:t>
            </w:r>
          </w:p>
        </w:tc>
        <w:tc>
          <w:tcPr>
            <w:tcW w:w="3402" w:type="dxa"/>
          </w:tcPr>
          <w:p w:rsidR="00083211" w:rsidRDefault="00C66F7C" w:rsidP="00C66F7C">
            <w:r>
              <w:t>Opening welcoming speeches</w:t>
            </w:r>
          </w:p>
          <w:p w:rsidR="00C66F7C" w:rsidRPr="00A95728" w:rsidRDefault="001C7417" w:rsidP="00A95728">
            <w:pPr>
              <w:pStyle w:val="ListParagraph"/>
              <w:numPr>
                <w:ilvl w:val="0"/>
                <w:numId w:val="14"/>
              </w:numPr>
              <w:spacing w:after="0"/>
              <w:rPr>
                <w:rFonts w:asciiTheme="minorHAnsi" w:hAnsiTheme="minorHAnsi"/>
              </w:rPr>
            </w:pPr>
            <w:r>
              <w:rPr>
                <w:rFonts w:asciiTheme="minorHAnsi" w:hAnsiTheme="minorHAnsi"/>
              </w:rPr>
              <w:t>Deputy</w:t>
            </w:r>
            <w:r w:rsidR="009E01FC">
              <w:rPr>
                <w:rFonts w:asciiTheme="minorHAnsi" w:hAnsiTheme="minorHAnsi"/>
              </w:rPr>
              <w:t xml:space="preserve"> Prime-Minister, Romania</w:t>
            </w:r>
          </w:p>
          <w:p w:rsidR="00C66F7C" w:rsidRPr="00C66F7C" w:rsidRDefault="001C7417" w:rsidP="00C66F7C">
            <w:pPr>
              <w:pStyle w:val="ListParagraph"/>
              <w:numPr>
                <w:ilvl w:val="0"/>
                <w:numId w:val="14"/>
              </w:numPr>
              <w:spacing w:after="0"/>
              <w:rPr>
                <w:rFonts w:asciiTheme="minorHAnsi" w:hAnsiTheme="minorHAnsi"/>
              </w:rPr>
            </w:pPr>
            <w:r>
              <w:rPr>
                <w:rFonts w:asciiTheme="minorHAnsi" w:hAnsiTheme="minorHAnsi"/>
              </w:rPr>
              <w:t xml:space="preserve">The </w:t>
            </w:r>
            <w:r w:rsidR="009E01FC">
              <w:rPr>
                <w:rFonts w:asciiTheme="minorHAnsi" w:hAnsiTheme="minorHAnsi"/>
              </w:rPr>
              <w:t>EUSDR Romanian Coordinator</w:t>
            </w:r>
          </w:p>
          <w:p w:rsidR="00C66F7C" w:rsidRPr="00C66F7C" w:rsidRDefault="009E01FC" w:rsidP="00C66F7C">
            <w:pPr>
              <w:pStyle w:val="ListParagraph"/>
              <w:numPr>
                <w:ilvl w:val="0"/>
                <w:numId w:val="14"/>
              </w:numPr>
              <w:spacing w:after="0"/>
              <w:rPr>
                <w:rFonts w:asciiTheme="minorHAnsi" w:hAnsiTheme="minorHAnsi"/>
              </w:rPr>
            </w:pPr>
            <w:r>
              <w:rPr>
                <w:rFonts w:asciiTheme="minorHAnsi" w:hAnsiTheme="minorHAnsi"/>
              </w:rPr>
              <w:t>PA3 Coordinator</w:t>
            </w:r>
          </w:p>
        </w:tc>
        <w:tc>
          <w:tcPr>
            <w:tcW w:w="4961" w:type="dxa"/>
          </w:tcPr>
          <w:p w:rsidR="00083211" w:rsidRPr="001C7417" w:rsidRDefault="003F14B7" w:rsidP="001C7417">
            <w:r w:rsidRPr="001C7417">
              <w:t>Structuring the conference framework</w:t>
            </w:r>
          </w:p>
        </w:tc>
      </w:tr>
      <w:tr w:rsidR="00C66F7C" w:rsidTr="001C7417">
        <w:tc>
          <w:tcPr>
            <w:tcW w:w="1526" w:type="dxa"/>
          </w:tcPr>
          <w:p w:rsidR="00C66F7C" w:rsidRPr="001C7417" w:rsidRDefault="005F3DC3" w:rsidP="005F3DC3">
            <w:r w:rsidRPr="001C7417">
              <w:t>11:00-11:45</w:t>
            </w:r>
          </w:p>
        </w:tc>
        <w:tc>
          <w:tcPr>
            <w:tcW w:w="3402" w:type="dxa"/>
          </w:tcPr>
          <w:p w:rsidR="001A6A55" w:rsidRPr="007D5A9E" w:rsidRDefault="001C5A98" w:rsidP="00FE43FD">
            <w:pPr>
              <w:rPr>
                <w:b/>
              </w:rPr>
            </w:pPr>
            <w:r w:rsidRPr="007D5A9E">
              <w:rPr>
                <w:b/>
              </w:rPr>
              <w:t xml:space="preserve">The Danube Region </w:t>
            </w:r>
            <w:r w:rsidR="001C7417" w:rsidRPr="007D5A9E">
              <w:rPr>
                <w:b/>
              </w:rPr>
              <w:t xml:space="preserve">- </w:t>
            </w:r>
            <w:r w:rsidRPr="007D5A9E">
              <w:rPr>
                <w:b/>
              </w:rPr>
              <w:t xml:space="preserve"> its World Heritage</w:t>
            </w:r>
            <w:r w:rsidR="001C7417" w:rsidRPr="007D5A9E">
              <w:rPr>
                <w:b/>
              </w:rPr>
              <w:t xml:space="preserve"> and related cultural routes</w:t>
            </w:r>
          </w:p>
        </w:tc>
        <w:tc>
          <w:tcPr>
            <w:tcW w:w="4961" w:type="dxa"/>
          </w:tcPr>
          <w:p w:rsidR="001C5A98" w:rsidRPr="001C7417" w:rsidRDefault="001C5A98" w:rsidP="001C5A98">
            <w:pPr>
              <w:rPr>
                <w:lang w:val="en-GB"/>
              </w:rPr>
            </w:pPr>
            <w:r w:rsidRPr="001C7417">
              <w:rPr>
                <w:lang w:val="en-GB"/>
              </w:rPr>
              <w:t xml:space="preserve">The </w:t>
            </w:r>
            <w:r w:rsidRPr="001C7417">
              <w:rPr>
                <w:b/>
                <w:lang w:val="en-GB"/>
              </w:rPr>
              <w:t>discussion</w:t>
            </w:r>
            <w:r w:rsidRPr="001C7417">
              <w:rPr>
                <w:lang w:val="en-GB"/>
              </w:rPr>
              <w:t xml:space="preserve"> will concentrate on </w:t>
            </w:r>
            <w:r w:rsidRPr="001C7417">
              <w:rPr>
                <w:b/>
                <w:lang w:val="en-GB"/>
              </w:rPr>
              <w:t>exchanges of innovative models of good practice</w:t>
            </w:r>
            <w:r w:rsidRPr="001C7417">
              <w:rPr>
                <w:lang w:val="en-GB"/>
              </w:rPr>
              <w:t xml:space="preserve"> in the </w:t>
            </w:r>
            <w:r w:rsidRPr="001C7417">
              <w:rPr>
                <w:b/>
                <w:lang w:val="en-GB"/>
              </w:rPr>
              <w:t>protection monitoring and integrated management of world heritage sites</w:t>
            </w:r>
            <w:r w:rsidRPr="001C7417">
              <w:rPr>
                <w:lang w:val="en-GB"/>
              </w:rPr>
              <w:t xml:space="preserve"> and/ or sites included on the tentative lists.  It also aims to propose ways by which the experience generated by WH sites can be spread and   reflected on other groups/types of the target countries’ cultural heritage.  </w:t>
            </w:r>
          </w:p>
          <w:p w:rsidR="001C5A98" w:rsidRPr="001C7417" w:rsidRDefault="001C5A98" w:rsidP="001C5A98">
            <w:pPr>
              <w:rPr>
                <w:lang w:val="en-GB"/>
              </w:rPr>
            </w:pPr>
            <w:r w:rsidRPr="001C7417">
              <w:rPr>
                <w:lang w:val="en-GB"/>
              </w:rPr>
              <w:t xml:space="preserve">Subthemes: </w:t>
            </w:r>
            <w:r w:rsidRPr="001C7417">
              <w:rPr>
                <w:lang w:val="en-GB"/>
              </w:rPr>
              <w:tab/>
            </w:r>
          </w:p>
          <w:p w:rsidR="001C5A98" w:rsidRPr="001C7417" w:rsidRDefault="001C5A98" w:rsidP="001C5A98">
            <w:pPr>
              <w:pStyle w:val="ListParagraph"/>
              <w:numPr>
                <w:ilvl w:val="0"/>
                <w:numId w:val="20"/>
              </w:numPr>
              <w:spacing w:after="0"/>
              <w:rPr>
                <w:rFonts w:asciiTheme="minorHAnsi" w:hAnsiTheme="minorHAnsi"/>
                <w:lang w:val="en-GB"/>
              </w:rPr>
            </w:pPr>
            <w:r w:rsidRPr="001C7417">
              <w:rPr>
                <w:rFonts w:asciiTheme="minorHAnsi" w:hAnsiTheme="minorHAnsi"/>
                <w:lang w:val="en-GB"/>
              </w:rPr>
              <w:t xml:space="preserve">model approaches in World Heritage Conservation programmes </w:t>
            </w:r>
          </w:p>
          <w:p w:rsidR="001C5A98" w:rsidRPr="001C7417" w:rsidRDefault="001C5A98" w:rsidP="001C5A98">
            <w:pPr>
              <w:pStyle w:val="ListParagraph"/>
              <w:numPr>
                <w:ilvl w:val="0"/>
                <w:numId w:val="20"/>
              </w:numPr>
              <w:spacing w:after="0"/>
              <w:rPr>
                <w:rFonts w:asciiTheme="minorHAnsi" w:hAnsiTheme="minorHAnsi"/>
                <w:lang w:val="en-GB"/>
              </w:rPr>
            </w:pPr>
            <w:r w:rsidRPr="001C7417">
              <w:rPr>
                <w:rFonts w:asciiTheme="minorHAnsi" w:hAnsiTheme="minorHAnsi"/>
                <w:lang w:val="en-GB"/>
              </w:rPr>
              <w:t xml:space="preserve">Perpetuation of Traditional materials use and traditional techniques related to heritage conservation </w:t>
            </w:r>
          </w:p>
          <w:p w:rsidR="001C5A98" w:rsidRPr="001C7417" w:rsidRDefault="001C5A98" w:rsidP="001C5A98">
            <w:pPr>
              <w:pStyle w:val="ListParagraph"/>
              <w:numPr>
                <w:ilvl w:val="0"/>
                <w:numId w:val="20"/>
              </w:numPr>
              <w:spacing w:after="0"/>
              <w:rPr>
                <w:rFonts w:asciiTheme="minorHAnsi" w:hAnsiTheme="minorHAnsi"/>
                <w:lang w:val="en-GB"/>
              </w:rPr>
            </w:pPr>
            <w:r w:rsidRPr="001C7417">
              <w:rPr>
                <w:rFonts w:asciiTheme="minorHAnsi" w:hAnsiTheme="minorHAnsi"/>
                <w:lang w:val="en-GB"/>
              </w:rPr>
              <w:t xml:space="preserve">Specific challenges in heritage protection </w:t>
            </w:r>
          </w:p>
          <w:p w:rsidR="00C66F7C" w:rsidRPr="0036148D" w:rsidRDefault="001C5A98" w:rsidP="00DA4A43">
            <w:pPr>
              <w:pStyle w:val="ListParagraph"/>
              <w:numPr>
                <w:ilvl w:val="0"/>
                <w:numId w:val="20"/>
              </w:numPr>
              <w:spacing w:after="0"/>
              <w:rPr>
                <w:rFonts w:asciiTheme="minorHAnsi" w:hAnsiTheme="minorHAnsi"/>
                <w:lang w:val="en-GB"/>
              </w:rPr>
            </w:pPr>
            <w:r w:rsidRPr="001C7417">
              <w:rPr>
                <w:rFonts w:asciiTheme="minorHAnsi" w:hAnsiTheme="minorHAnsi"/>
                <w:lang w:val="en-GB"/>
              </w:rPr>
              <w:t xml:space="preserve">The nature/culture connection in world heritage sites </w:t>
            </w:r>
          </w:p>
        </w:tc>
      </w:tr>
      <w:tr w:rsidR="00BD5F95" w:rsidTr="001C7417">
        <w:tc>
          <w:tcPr>
            <w:tcW w:w="1526" w:type="dxa"/>
          </w:tcPr>
          <w:p w:rsidR="00BD5F95" w:rsidRDefault="005F3DC3" w:rsidP="00556DE7">
            <w:r>
              <w:t>11:45-12:15</w:t>
            </w:r>
          </w:p>
        </w:tc>
        <w:tc>
          <w:tcPr>
            <w:tcW w:w="3402" w:type="dxa"/>
          </w:tcPr>
          <w:p w:rsidR="00BD5F95" w:rsidRPr="0053699D" w:rsidRDefault="00C66F7C" w:rsidP="0053699D">
            <w:r>
              <w:t>Coffee break</w:t>
            </w:r>
          </w:p>
        </w:tc>
        <w:tc>
          <w:tcPr>
            <w:tcW w:w="4961" w:type="dxa"/>
          </w:tcPr>
          <w:p w:rsidR="00BD5F95" w:rsidRPr="00FB76C8" w:rsidRDefault="00BD5F95" w:rsidP="00B745B6"/>
        </w:tc>
      </w:tr>
      <w:tr w:rsidR="00B745B6" w:rsidTr="001C7417">
        <w:tc>
          <w:tcPr>
            <w:tcW w:w="1526" w:type="dxa"/>
          </w:tcPr>
          <w:p w:rsidR="00B745B6" w:rsidRDefault="005F3DC3" w:rsidP="00556DE7">
            <w:r>
              <w:t>12:15-13:0</w:t>
            </w:r>
            <w:r w:rsidR="00C66F7C">
              <w:t>0</w:t>
            </w:r>
          </w:p>
        </w:tc>
        <w:tc>
          <w:tcPr>
            <w:tcW w:w="3402" w:type="dxa"/>
          </w:tcPr>
          <w:p w:rsidR="00A74B5D" w:rsidRPr="007D5A9E" w:rsidRDefault="00DA4A43" w:rsidP="001C7417">
            <w:pPr>
              <w:rPr>
                <w:b/>
              </w:rPr>
            </w:pPr>
            <w:r w:rsidRPr="007D5A9E">
              <w:rPr>
                <w:b/>
              </w:rPr>
              <w:t>The Danube Region – between the multicultural mosaic tradition and today’s cultural dialogue</w:t>
            </w:r>
          </w:p>
          <w:p w:rsidR="001C7417" w:rsidRPr="007D5A9E" w:rsidRDefault="001C7417" w:rsidP="001C7417"/>
        </w:tc>
        <w:tc>
          <w:tcPr>
            <w:tcW w:w="4961" w:type="dxa"/>
          </w:tcPr>
          <w:p w:rsidR="00B745B6" w:rsidRPr="007D5A9E" w:rsidRDefault="00DA4A43" w:rsidP="00E76F3A">
            <w:r w:rsidRPr="007D5A9E">
              <w:t xml:space="preserve">Three main aspects will be highlighted: the cultural memory, the cultural creativity and the cultural inclusion, with accent on networking and dialogue. The best practices examples will show the way in </w:t>
            </w:r>
            <w:r w:rsidRPr="007D5A9E">
              <w:lastRenderedPageBreak/>
              <w:t xml:space="preserve">which national minorities and multiethnic areas generally preserve their heritage and traditions, contributing along the centuries to the development and the evolution of the territories. Also, examples of the involvement in today’s minorities cultural phenomenon and cultural cooperation between minorities will be presented. </w:t>
            </w:r>
          </w:p>
        </w:tc>
      </w:tr>
      <w:tr w:rsidR="00DE7FBC" w:rsidTr="001C7417">
        <w:tc>
          <w:tcPr>
            <w:tcW w:w="1526" w:type="dxa"/>
          </w:tcPr>
          <w:p w:rsidR="00DE7FBC" w:rsidRDefault="005F3DC3" w:rsidP="005342F3">
            <w:r>
              <w:lastRenderedPageBreak/>
              <w:t>13:00-13:45</w:t>
            </w:r>
          </w:p>
        </w:tc>
        <w:tc>
          <w:tcPr>
            <w:tcW w:w="3402" w:type="dxa"/>
          </w:tcPr>
          <w:p w:rsidR="00717254" w:rsidRPr="0036148D" w:rsidRDefault="005F3DC3" w:rsidP="00A74B5D">
            <w:pPr>
              <w:rPr>
                <w:b/>
              </w:rPr>
            </w:pPr>
            <w:r w:rsidRPr="007D5A9E">
              <w:rPr>
                <w:b/>
              </w:rPr>
              <w:t xml:space="preserve">Economic catalysts of </w:t>
            </w:r>
            <w:r w:rsidR="001C7417" w:rsidRPr="007D5A9E">
              <w:rPr>
                <w:b/>
              </w:rPr>
              <w:t>local community development</w:t>
            </w:r>
            <w:r w:rsidR="00DA4A43" w:rsidRPr="007D5A9E">
              <w:rPr>
                <w:b/>
              </w:rPr>
              <w:t>: cultural heritage and routes</w:t>
            </w:r>
          </w:p>
        </w:tc>
        <w:tc>
          <w:tcPr>
            <w:tcW w:w="4961" w:type="dxa"/>
          </w:tcPr>
          <w:p w:rsidR="00DE7FBC" w:rsidRPr="00FB76C8" w:rsidRDefault="00AF7BC6" w:rsidP="00B745B6">
            <w:r>
              <w:t>Role of economic structures</w:t>
            </w:r>
            <w:r w:rsidR="00E76F3A">
              <w:t xml:space="preserve"> and entrepreneurship</w:t>
            </w:r>
            <w:r>
              <w:t xml:space="preserve"> in both sustainable management of cultural/natural heritage, and cultural tourism</w:t>
            </w:r>
          </w:p>
        </w:tc>
      </w:tr>
      <w:tr w:rsidR="00C66F7C" w:rsidTr="001C7417">
        <w:tc>
          <w:tcPr>
            <w:tcW w:w="1526" w:type="dxa"/>
          </w:tcPr>
          <w:p w:rsidR="00C66F7C" w:rsidRDefault="005F3DC3" w:rsidP="00FE43FD">
            <w:r>
              <w:t>13:45-14:45</w:t>
            </w:r>
          </w:p>
        </w:tc>
        <w:tc>
          <w:tcPr>
            <w:tcW w:w="3402" w:type="dxa"/>
          </w:tcPr>
          <w:p w:rsidR="00C66F7C" w:rsidRPr="0053699D" w:rsidRDefault="00C66F7C" w:rsidP="00FE43FD">
            <w:r>
              <w:t>Lunch</w:t>
            </w:r>
          </w:p>
        </w:tc>
        <w:tc>
          <w:tcPr>
            <w:tcW w:w="4961" w:type="dxa"/>
          </w:tcPr>
          <w:p w:rsidR="00C66F7C" w:rsidRDefault="00C66F7C" w:rsidP="00FB76C8"/>
        </w:tc>
      </w:tr>
      <w:tr w:rsidR="00C66F7C" w:rsidRPr="00C66F7C" w:rsidTr="001C7417">
        <w:tc>
          <w:tcPr>
            <w:tcW w:w="1526" w:type="dxa"/>
            <w:shd w:val="clear" w:color="auto" w:fill="B8CCE4" w:themeFill="accent1" w:themeFillTint="66"/>
          </w:tcPr>
          <w:p w:rsidR="00C66F7C" w:rsidRPr="00C66F7C" w:rsidRDefault="00C66F7C" w:rsidP="00FE43FD">
            <w:pPr>
              <w:rPr>
                <w:b/>
              </w:rPr>
            </w:pPr>
          </w:p>
        </w:tc>
        <w:tc>
          <w:tcPr>
            <w:tcW w:w="3402" w:type="dxa"/>
            <w:shd w:val="clear" w:color="auto" w:fill="B8CCE4" w:themeFill="accent1" w:themeFillTint="66"/>
          </w:tcPr>
          <w:p w:rsidR="00C66F7C" w:rsidRPr="00C66F7C" w:rsidRDefault="00C66F7C" w:rsidP="00DA4A43">
            <w:pPr>
              <w:rPr>
                <w:b/>
              </w:rPr>
            </w:pPr>
            <w:r w:rsidRPr="00C66F7C">
              <w:rPr>
                <w:b/>
              </w:rPr>
              <w:t>Parallel Workshops</w:t>
            </w:r>
            <w:r w:rsidR="00A74B5D">
              <w:rPr>
                <w:b/>
              </w:rPr>
              <w:t xml:space="preserve"> </w:t>
            </w:r>
          </w:p>
        </w:tc>
        <w:tc>
          <w:tcPr>
            <w:tcW w:w="4961" w:type="dxa"/>
            <w:shd w:val="clear" w:color="auto" w:fill="B8CCE4" w:themeFill="accent1" w:themeFillTint="66"/>
          </w:tcPr>
          <w:p w:rsidR="00C66F7C" w:rsidRPr="00C66F7C" w:rsidRDefault="00C66F7C" w:rsidP="00FB76C8">
            <w:pPr>
              <w:rPr>
                <w:b/>
              </w:rPr>
            </w:pPr>
          </w:p>
        </w:tc>
      </w:tr>
      <w:tr w:rsidR="00F16281" w:rsidTr="001C7417">
        <w:tc>
          <w:tcPr>
            <w:tcW w:w="1526" w:type="dxa"/>
          </w:tcPr>
          <w:p w:rsidR="00F16281" w:rsidRDefault="007D5A9E" w:rsidP="005342F3">
            <w:r>
              <w:t>14:45-16</w:t>
            </w:r>
            <w:r w:rsidR="005F3DC3">
              <w:t>:</w:t>
            </w:r>
            <w:r>
              <w:t>45</w:t>
            </w:r>
          </w:p>
        </w:tc>
        <w:tc>
          <w:tcPr>
            <w:tcW w:w="3402" w:type="dxa"/>
          </w:tcPr>
          <w:p w:rsidR="002B4B9A" w:rsidRPr="00C66F7C" w:rsidRDefault="002B4B9A" w:rsidP="002B4B9A">
            <w:pPr>
              <w:rPr>
                <w:b/>
                <w:u w:val="single"/>
              </w:rPr>
            </w:pPr>
            <w:r w:rsidRPr="00C66F7C">
              <w:rPr>
                <w:b/>
                <w:u w:val="single"/>
              </w:rPr>
              <w:t>Workshop</w:t>
            </w:r>
            <w:r>
              <w:rPr>
                <w:b/>
                <w:u w:val="single"/>
              </w:rPr>
              <w:t xml:space="preserve"> 1</w:t>
            </w:r>
          </w:p>
          <w:p w:rsidR="00F16281" w:rsidRPr="00892160" w:rsidRDefault="00892160" w:rsidP="007D5A9E">
            <w:pPr>
              <w:rPr>
                <w:noProof/>
                <w:lang w:eastAsia="ro-RO"/>
              </w:rPr>
            </w:pPr>
            <w:r w:rsidRPr="00892160">
              <w:rPr>
                <w:b/>
                <w:i/>
                <w:noProof/>
                <w:lang w:eastAsia="ro-RO"/>
              </w:rPr>
              <w:t>Expand the perspective upon the cultural tourism routes</w:t>
            </w:r>
            <w:r w:rsidRPr="00892160">
              <w:rPr>
                <w:noProof/>
                <w:lang w:eastAsia="ro-RO"/>
              </w:rPr>
              <w:t xml:space="preserve">: from the punctual cultural heritage objectives network, towards the mixed cultural-natural heritage areas network, under the </w:t>
            </w:r>
            <w:r w:rsidRPr="00892160">
              <w:t>UNESCO Convention concerning the protection of the world cultural and natural heritage</w:t>
            </w:r>
            <w:r>
              <w:t xml:space="preserve"> </w:t>
            </w:r>
          </w:p>
        </w:tc>
        <w:tc>
          <w:tcPr>
            <w:tcW w:w="4961" w:type="dxa"/>
          </w:tcPr>
          <w:p w:rsidR="0036148D" w:rsidRDefault="0036148D" w:rsidP="00AB1AFD">
            <w:r w:rsidRPr="001C7417">
              <w:rPr>
                <w:b/>
                <w:lang w:val="en-GB"/>
              </w:rPr>
              <w:t>Best practices</w:t>
            </w:r>
            <w:r w:rsidRPr="001C7417">
              <w:rPr>
                <w:lang w:val="en-GB"/>
              </w:rPr>
              <w:t xml:space="preserve"> of sustainable development of rural communities starting from their heritage conservation programmes. Training and integration of local labour force in conservation projects, encouraging private initiative for projects using traditional materials and techniques promoting and disseminating this approach, are among the strengths of the programmes that will be presented.</w:t>
            </w:r>
            <w:r w:rsidR="001D2D7B">
              <w:rPr>
                <w:lang w:val="en-GB"/>
              </w:rPr>
              <w:t xml:space="preserve"> The examples will show to </w:t>
            </w:r>
            <w:r w:rsidR="001D2D7B">
              <w:t xml:space="preserve">what extent an integrated perspective of the </w:t>
            </w:r>
            <w:r w:rsidR="001D2D7B" w:rsidRPr="00892160">
              <w:t>UNESCO Convention concerning the protection of the world cultural and natural heritage</w:t>
            </w:r>
            <w:r w:rsidR="001D2D7B">
              <w:t xml:space="preserve"> could contribute to strengthen the cultural routes</w:t>
            </w:r>
            <w:r w:rsidR="001D2D7B" w:rsidRPr="00FB76C8">
              <w:t xml:space="preserve"> </w:t>
            </w:r>
            <w:r w:rsidR="001D2D7B">
              <w:t xml:space="preserve">structure/ network. </w:t>
            </w:r>
          </w:p>
          <w:p w:rsidR="001D2D7B" w:rsidRPr="001D2D7B" w:rsidRDefault="001D2D7B" w:rsidP="00AB1AFD">
            <w:r w:rsidRPr="00AB1AFD">
              <w:rPr>
                <w:u w:val="single"/>
              </w:rPr>
              <w:t>Relvance/bridges to the otherPA-s</w:t>
            </w:r>
          </w:p>
        </w:tc>
      </w:tr>
      <w:tr w:rsidR="00F16281" w:rsidTr="001C7417">
        <w:tc>
          <w:tcPr>
            <w:tcW w:w="1526" w:type="dxa"/>
          </w:tcPr>
          <w:p w:rsidR="00F16281" w:rsidRDefault="007D5A9E" w:rsidP="005342F3">
            <w:r>
              <w:t>14:45-16:45</w:t>
            </w:r>
          </w:p>
        </w:tc>
        <w:tc>
          <w:tcPr>
            <w:tcW w:w="3402" w:type="dxa"/>
          </w:tcPr>
          <w:p w:rsidR="002B4B9A" w:rsidRDefault="002B4B9A" w:rsidP="002B4B9A">
            <w:pPr>
              <w:rPr>
                <w:b/>
                <w:u w:val="single"/>
              </w:rPr>
            </w:pPr>
            <w:r>
              <w:rPr>
                <w:b/>
                <w:u w:val="single"/>
              </w:rPr>
              <w:t>Workshop 2</w:t>
            </w:r>
          </w:p>
          <w:p w:rsidR="00F16281" w:rsidRPr="009E01FC" w:rsidRDefault="00CC4797" w:rsidP="007D5A9E">
            <w:pPr>
              <w:rPr>
                <w:noProof/>
                <w:lang w:eastAsia="ro-RO"/>
              </w:rPr>
            </w:pPr>
            <w:r>
              <w:rPr>
                <w:b/>
                <w:i/>
                <w:noProof/>
                <w:lang w:eastAsia="ro-RO"/>
              </w:rPr>
              <w:t>Local</w:t>
            </w:r>
            <w:r w:rsidRPr="00CC4797">
              <w:rPr>
                <w:b/>
                <w:i/>
                <w:noProof/>
                <w:lang w:eastAsia="ro-RO"/>
              </w:rPr>
              <w:t xml:space="preserve"> communities roles within the sustainable management of cultural heritage within its environment</w:t>
            </w:r>
            <w:r w:rsidR="009E01FC">
              <w:rPr>
                <w:noProof/>
                <w:lang w:eastAsia="ro-RO"/>
              </w:rPr>
              <w:t xml:space="preserve"> – one of the keys </w:t>
            </w:r>
            <w:r w:rsidR="002B4B9A" w:rsidRPr="0053699D">
              <w:t>of sustainable and competitive communities regeneration</w:t>
            </w:r>
            <w:r w:rsidR="002B4B9A">
              <w:t xml:space="preserve"> </w:t>
            </w:r>
          </w:p>
        </w:tc>
        <w:tc>
          <w:tcPr>
            <w:tcW w:w="4961" w:type="dxa"/>
          </w:tcPr>
          <w:p w:rsidR="00F16281" w:rsidRDefault="001D2D7B" w:rsidP="00FE43FD">
            <w:r>
              <w:rPr>
                <w:b/>
              </w:rPr>
              <w:t xml:space="preserve">Best practice </w:t>
            </w:r>
            <w:r>
              <w:t xml:space="preserve">examples will highlight </w:t>
            </w:r>
            <w:r w:rsidR="002B4B9A" w:rsidRPr="00FB76C8">
              <w:t xml:space="preserve">  </w:t>
            </w:r>
            <w:r w:rsidR="00CC4797" w:rsidRPr="00CC4797">
              <w:rPr>
                <w:noProof/>
                <w:lang w:eastAsia="ro-RO"/>
              </w:rPr>
              <w:t>creative/smart relevant solutions, in support of both vivid cultural tourism routes, and higher quality of life</w:t>
            </w:r>
            <w:r w:rsidR="00CC4797">
              <w:t xml:space="preserve">; </w:t>
            </w:r>
            <w:r w:rsidR="002B4B9A" w:rsidRPr="00FB76C8">
              <w:t xml:space="preserve">sustainable and competitive communities regeneration through (sound and) creative management of the mixed cultural and natural heritage, </w:t>
            </w:r>
            <w:r w:rsidR="00CC4797">
              <w:t xml:space="preserve">relevant networking, involvement in </w:t>
            </w:r>
            <w:r w:rsidR="002B4B9A" w:rsidRPr="00FB76C8">
              <w:t xml:space="preserve">tourism </w:t>
            </w:r>
            <w:r w:rsidR="001F23EC">
              <w:t>economic structures</w:t>
            </w:r>
            <w:r w:rsidR="002B4B9A" w:rsidRPr="00FB76C8">
              <w:t xml:space="preserve"> etc</w:t>
            </w:r>
          </w:p>
          <w:p w:rsidR="00AB1AFD" w:rsidRPr="00FB76C8" w:rsidRDefault="00AB1AFD" w:rsidP="00FE43FD">
            <w:r w:rsidRPr="00AB1AFD">
              <w:rPr>
                <w:u w:val="single"/>
              </w:rPr>
              <w:t>Relvance/bridges to the otherPA-s</w:t>
            </w:r>
          </w:p>
        </w:tc>
      </w:tr>
      <w:tr w:rsidR="00892160" w:rsidTr="001C7417">
        <w:tc>
          <w:tcPr>
            <w:tcW w:w="1526" w:type="dxa"/>
          </w:tcPr>
          <w:p w:rsidR="00892160" w:rsidRDefault="007D5A9E" w:rsidP="005342F3">
            <w:r>
              <w:t>14:45-16:45</w:t>
            </w:r>
          </w:p>
        </w:tc>
        <w:tc>
          <w:tcPr>
            <w:tcW w:w="3402" w:type="dxa"/>
          </w:tcPr>
          <w:p w:rsidR="00892160" w:rsidRDefault="00892160" w:rsidP="002B4B9A">
            <w:pPr>
              <w:rPr>
                <w:b/>
                <w:u w:val="single"/>
              </w:rPr>
            </w:pPr>
            <w:r>
              <w:rPr>
                <w:b/>
                <w:u w:val="single"/>
              </w:rPr>
              <w:t>Workshop 3</w:t>
            </w:r>
          </w:p>
          <w:p w:rsidR="00892160" w:rsidRPr="00892160" w:rsidRDefault="00892160" w:rsidP="007D5A9E">
            <w:pPr>
              <w:rPr>
                <w:noProof/>
                <w:lang w:eastAsia="ro-RO"/>
              </w:rPr>
            </w:pPr>
            <w:r>
              <w:rPr>
                <w:b/>
                <w:i/>
                <w:noProof/>
                <w:lang w:eastAsia="ro-RO"/>
              </w:rPr>
              <w:t>The</w:t>
            </w:r>
            <w:r w:rsidRPr="00892160">
              <w:rPr>
                <w:b/>
                <w:i/>
                <w:noProof/>
                <w:lang w:eastAsia="ro-RO"/>
              </w:rPr>
              <w:t xml:space="preserve"> role of turis</w:t>
            </w:r>
            <w:r w:rsidR="00523627">
              <w:rPr>
                <w:b/>
                <w:i/>
                <w:noProof/>
                <w:lang w:eastAsia="ro-RO"/>
              </w:rPr>
              <w:t>m related relevant</w:t>
            </w:r>
            <w:r w:rsidRPr="00892160">
              <w:rPr>
                <w:b/>
                <w:i/>
                <w:noProof/>
                <w:lang w:eastAsia="ro-RO"/>
              </w:rPr>
              <w:t xml:space="preserve"> economic development structures</w:t>
            </w:r>
            <w:r w:rsidRPr="00892160">
              <w:rPr>
                <w:noProof/>
                <w:lang w:eastAsia="ro-RO"/>
              </w:rPr>
              <w:t xml:space="preserve">, as catalysts of cultural tourism </w:t>
            </w:r>
            <w:r>
              <w:rPr>
                <w:noProof/>
                <w:lang w:eastAsia="ro-RO"/>
              </w:rPr>
              <w:t>routes</w:t>
            </w:r>
            <w:r>
              <w:t xml:space="preserve"> </w:t>
            </w:r>
          </w:p>
        </w:tc>
        <w:tc>
          <w:tcPr>
            <w:tcW w:w="4961" w:type="dxa"/>
          </w:tcPr>
          <w:p w:rsidR="00892160" w:rsidRDefault="001D2D7B" w:rsidP="00FE43FD">
            <w:r>
              <w:rPr>
                <w:b/>
              </w:rPr>
              <w:t>Best practice</w:t>
            </w:r>
            <w:r w:rsidR="00AB1AFD" w:rsidRPr="00FB76C8">
              <w:t xml:space="preserve">  </w:t>
            </w:r>
            <w:r w:rsidR="00AB1AFD">
              <w:t xml:space="preserve">examples of sound management of the </w:t>
            </w:r>
            <w:r w:rsidR="00AB1AFD">
              <w:rPr>
                <w:noProof/>
                <w:lang w:eastAsia="ro-RO"/>
              </w:rPr>
              <w:t xml:space="preserve">mixed heritage, based on sustainable cultral tourism; contributions of tourism </w:t>
            </w:r>
            <w:r w:rsidR="001F23EC">
              <w:rPr>
                <w:noProof/>
                <w:lang w:eastAsia="ro-RO"/>
              </w:rPr>
              <w:t>economic structures</w:t>
            </w:r>
            <w:bookmarkStart w:id="0" w:name="_GoBack"/>
            <w:bookmarkEnd w:id="0"/>
            <w:r w:rsidR="00AB1AFD">
              <w:rPr>
                <w:noProof/>
                <w:lang w:eastAsia="ro-RO"/>
              </w:rPr>
              <w:t xml:space="preserve"> to the financing of the mixed heritage</w:t>
            </w:r>
          </w:p>
          <w:p w:rsidR="00AB1AFD" w:rsidRPr="00FB76C8" w:rsidRDefault="00AB1AFD" w:rsidP="00FE43FD">
            <w:r w:rsidRPr="00AB1AFD">
              <w:rPr>
                <w:u w:val="single"/>
              </w:rPr>
              <w:t>Rel</w:t>
            </w:r>
            <w:r w:rsidR="00412FEC">
              <w:rPr>
                <w:u w:val="single"/>
              </w:rPr>
              <w:t>e</w:t>
            </w:r>
            <w:r w:rsidRPr="00AB1AFD">
              <w:rPr>
                <w:u w:val="single"/>
              </w:rPr>
              <w:t>vance/bridges to the otherPA-s</w:t>
            </w:r>
          </w:p>
        </w:tc>
      </w:tr>
      <w:tr w:rsidR="00F16281" w:rsidRPr="00F16281" w:rsidTr="001C7417">
        <w:tc>
          <w:tcPr>
            <w:tcW w:w="1526" w:type="dxa"/>
            <w:shd w:val="clear" w:color="auto" w:fill="B8CCE4" w:themeFill="accent1" w:themeFillTint="66"/>
          </w:tcPr>
          <w:p w:rsidR="00F16281" w:rsidRPr="00F16281" w:rsidRDefault="00F16281" w:rsidP="005342F3">
            <w:pPr>
              <w:rPr>
                <w:b/>
              </w:rPr>
            </w:pPr>
          </w:p>
        </w:tc>
        <w:tc>
          <w:tcPr>
            <w:tcW w:w="3402" w:type="dxa"/>
            <w:shd w:val="clear" w:color="auto" w:fill="B8CCE4" w:themeFill="accent1" w:themeFillTint="66"/>
          </w:tcPr>
          <w:p w:rsidR="00F16281" w:rsidRPr="00F16281" w:rsidRDefault="00F16281" w:rsidP="00F16281">
            <w:pPr>
              <w:rPr>
                <w:b/>
              </w:rPr>
            </w:pPr>
            <w:r w:rsidRPr="00F16281">
              <w:rPr>
                <w:b/>
              </w:rPr>
              <w:t xml:space="preserve">Closing </w:t>
            </w:r>
            <w:r>
              <w:rPr>
                <w:b/>
              </w:rPr>
              <w:t>Conclusions S</w:t>
            </w:r>
            <w:r w:rsidRPr="00F16281">
              <w:rPr>
                <w:b/>
              </w:rPr>
              <w:t>ession</w:t>
            </w:r>
          </w:p>
        </w:tc>
        <w:tc>
          <w:tcPr>
            <w:tcW w:w="4961" w:type="dxa"/>
            <w:shd w:val="clear" w:color="auto" w:fill="B8CCE4" w:themeFill="accent1" w:themeFillTint="66"/>
          </w:tcPr>
          <w:p w:rsidR="00F16281" w:rsidRPr="00F16281" w:rsidRDefault="00F16281" w:rsidP="00FE43FD">
            <w:pPr>
              <w:rPr>
                <w:b/>
              </w:rPr>
            </w:pPr>
          </w:p>
        </w:tc>
      </w:tr>
      <w:tr w:rsidR="00DE7FBC" w:rsidTr="001C7417">
        <w:tc>
          <w:tcPr>
            <w:tcW w:w="1526" w:type="dxa"/>
          </w:tcPr>
          <w:p w:rsidR="00DE7FBC" w:rsidRDefault="007D5A9E" w:rsidP="00B60ECC">
            <w:r>
              <w:t>16:45</w:t>
            </w:r>
            <w:r w:rsidR="00C66F7C">
              <w:t>-1</w:t>
            </w:r>
            <w:r>
              <w:t>7</w:t>
            </w:r>
            <w:r w:rsidR="00C66F7C">
              <w:t>:00</w:t>
            </w:r>
          </w:p>
        </w:tc>
        <w:tc>
          <w:tcPr>
            <w:tcW w:w="3402" w:type="dxa"/>
          </w:tcPr>
          <w:p w:rsidR="00DE7FBC" w:rsidRDefault="00C66F7C" w:rsidP="00B745B6">
            <w:r>
              <w:t>Workshops conclusions short reports</w:t>
            </w:r>
          </w:p>
          <w:p w:rsidR="00F16281" w:rsidRPr="0053699D" w:rsidRDefault="00F16281" w:rsidP="00B745B6">
            <w:r>
              <w:t>Conclusions and next steps</w:t>
            </w:r>
          </w:p>
        </w:tc>
        <w:tc>
          <w:tcPr>
            <w:tcW w:w="4961" w:type="dxa"/>
          </w:tcPr>
          <w:p w:rsidR="00DE7FBC" w:rsidRDefault="00244A6E" w:rsidP="00B745B6">
            <w:r>
              <w:t>-</w:t>
            </w:r>
            <w:r w:rsidR="00F16281">
              <w:t>Sharing the parallel workshops conclusions to all the participants</w:t>
            </w:r>
          </w:p>
          <w:p w:rsidR="00244A6E" w:rsidRDefault="00244A6E" w:rsidP="00B745B6">
            <w:r>
              <w:t>-Bridges among PA3 and otherPA-s</w:t>
            </w:r>
          </w:p>
          <w:p w:rsidR="00F16281" w:rsidRPr="00FB76C8" w:rsidRDefault="00244A6E" w:rsidP="007D5A9E">
            <w:r>
              <w:t>-</w:t>
            </w:r>
            <w:r w:rsidR="00F16281">
              <w:t xml:space="preserve">Sketching potential steps </w:t>
            </w:r>
            <w:r w:rsidR="00892160">
              <w:t>of action</w:t>
            </w:r>
            <w:r w:rsidR="00F16281">
              <w:t xml:space="preserve">, based on relevant conclusions of the </w:t>
            </w:r>
            <w:r w:rsidR="007D5A9E">
              <w:t>workshops</w:t>
            </w:r>
          </w:p>
        </w:tc>
      </w:tr>
    </w:tbl>
    <w:p w:rsidR="006F7B19" w:rsidRDefault="006F7B19" w:rsidP="00B745B6">
      <w:pPr>
        <w:rPr>
          <w:b/>
        </w:rPr>
      </w:pPr>
    </w:p>
    <w:p w:rsidR="001D2D7B" w:rsidRDefault="001D2D7B" w:rsidP="00B745B6">
      <w:pPr>
        <w:rPr>
          <w:b/>
        </w:rPr>
      </w:pPr>
    </w:p>
    <w:p w:rsidR="001D2D7B" w:rsidRDefault="001D2D7B" w:rsidP="00B745B6">
      <w:pPr>
        <w:rPr>
          <w:b/>
        </w:rPr>
      </w:pPr>
    </w:p>
    <w:p w:rsidR="001D2D7B" w:rsidRDefault="001D2D7B" w:rsidP="00B745B6">
      <w:pPr>
        <w:rPr>
          <w:b/>
        </w:rPr>
      </w:pPr>
    </w:p>
    <w:p w:rsidR="00B745B6" w:rsidRPr="00B745B6" w:rsidRDefault="00B745B6" w:rsidP="00B745B6">
      <w:pPr>
        <w:rPr>
          <w:b/>
        </w:rPr>
      </w:pPr>
      <w:r w:rsidRPr="00B745B6">
        <w:rPr>
          <w:b/>
        </w:rPr>
        <w:t>November 18, 2016</w:t>
      </w:r>
      <w:r>
        <w:rPr>
          <w:b/>
        </w:rPr>
        <w:t xml:space="preserve"> – </w:t>
      </w:r>
      <w:r w:rsidR="00371EE4">
        <w:rPr>
          <w:b/>
        </w:rPr>
        <w:t>Study</w:t>
      </w:r>
      <w:r>
        <w:rPr>
          <w:b/>
        </w:rPr>
        <w:t xml:space="preserve"> Visit</w:t>
      </w:r>
      <w:r w:rsidR="007D5A9E">
        <w:rPr>
          <w:b/>
        </w:rPr>
        <w:t xml:space="preserve"> – Bucharest – Viscri (Brasov County) - Bucharest</w:t>
      </w:r>
    </w:p>
    <w:tbl>
      <w:tblPr>
        <w:tblStyle w:val="TableGrid"/>
        <w:tblW w:w="9889" w:type="dxa"/>
        <w:tblLook w:val="04A0"/>
      </w:tblPr>
      <w:tblGrid>
        <w:gridCol w:w="1526"/>
        <w:gridCol w:w="4536"/>
        <w:gridCol w:w="3827"/>
      </w:tblGrid>
      <w:tr w:rsidR="00B745B6" w:rsidRPr="00B745B6" w:rsidTr="006F7B19">
        <w:trPr>
          <w:tblHeader/>
        </w:trPr>
        <w:tc>
          <w:tcPr>
            <w:tcW w:w="1526" w:type="dxa"/>
            <w:shd w:val="clear" w:color="auto" w:fill="C2D69B" w:themeFill="accent3" w:themeFillTint="99"/>
          </w:tcPr>
          <w:p w:rsidR="00B745B6" w:rsidRPr="00B745B6" w:rsidRDefault="00B745B6" w:rsidP="003F0FE2">
            <w:pPr>
              <w:rPr>
                <w:b/>
              </w:rPr>
            </w:pPr>
            <w:r w:rsidRPr="00B745B6">
              <w:rPr>
                <w:b/>
              </w:rPr>
              <w:t xml:space="preserve">Timing </w:t>
            </w:r>
          </w:p>
        </w:tc>
        <w:tc>
          <w:tcPr>
            <w:tcW w:w="4536" w:type="dxa"/>
            <w:shd w:val="clear" w:color="auto" w:fill="C2D69B" w:themeFill="accent3" w:themeFillTint="99"/>
          </w:tcPr>
          <w:p w:rsidR="00B745B6" w:rsidRPr="00B745B6" w:rsidRDefault="00EC3EB9" w:rsidP="003F0FE2">
            <w:pPr>
              <w:rPr>
                <w:b/>
              </w:rPr>
            </w:pPr>
            <w:r>
              <w:rPr>
                <w:b/>
              </w:rPr>
              <w:t>Activities</w:t>
            </w:r>
          </w:p>
        </w:tc>
        <w:tc>
          <w:tcPr>
            <w:tcW w:w="3827" w:type="dxa"/>
            <w:shd w:val="clear" w:color="auto" w:fill="C2D69B" w:themeFill="accent3" w:themeFillTint="99"/>
          </w:tcPr>
          <w:p w:rsidR="00B745B6" w:rsidRPr="00B745B6" w:rsidRDefault="00B745B6" w:rsidP="003F0FE2">
            <w:pPr>
              <w:rPr>
                <w:b/>
              </w:rPr>
            </w:pPr>
            <w:r w:rsidRPr="00B745B6">
              <w:rPr>
                <w:b/>
              </w:rPr>
              <w:t>Expected result</w:t>
            </w:r>
          </w:p>
        </w:tc>
      </w:tr>
      <w:tr w:rsidR="00B745B6" w:rsidTr="00083211">
        <w:tc>
          <w:tcPr>
            <w:tcW w:w="1526" w:type="dxa"/>
          </w:tcPr>
          <w:p w:rsidR="00B745B6" w:rsidRDefault="00A95728" w:rsidP="00EC3EB9">
            <w:r>
              <w:t>9:30-13</w:t>
            </w:r>
            <w:r w:rsidR="00EC3EB9">
              <w:t>:00</w:t>
            </w:r>
          </w:p>
        </w:tc>
        <w:tc>
          <w:tcPr>
            <w:tcW w:w="4536" w:type="dxa"/>
          </w:tcPr>
          <w:p w:rsidR="00EC3EB9" w:rsidRDefault="00EC3EB9" w:rsidP="003F0FE2">
            <w:r>
              <w:t xml:space="preserve">Departure </w:t>
            </w:r>
          </w:p>
          <w:p w:rsidR="00B745B6" w:rsidRDefault="00EC3EB9" w:rsidP="003F0FE2">
            <w:r>
              <w:t>Study visit</w:t>
            </w:r>
          </w:p>
        </w:tc>
        <w:tc>
          <w:tcPr>
            <w:tcW w:w="3827" w:type="dxa"/>
          </w:tcPr>
          <w:p w:rsidR="00B745B6" w:rsidRDefault="00B745B6" w:rsidP="003F0FE2"/>
        </w:tc>
      </w:tr>
      <w:tr w:rsidR="00EC3EB9" w:rsidRPr="001E4740" w:rsidTr="00083211">
        <w:tc>
          <w:tcPr>
            <w:tcW w:w="1526" w:type="dxa"/>
          </w:tcPr>
          <w:p w:rsidR="00EC3EB9" w:rsidRPr="001E4740" w:rsidRDefault="00A95728" w:rsidP="003F0FE2">
            <w:r>
              <w:t>13:00-14</w:t>
            </w:r>
            <w:r w:rsidR="00EC3EB9" w:rsidRPr="001E4740">
              <w:t>:00</w:t>
            </w:r>
          </w:p>
        </w:tc>
        <w:tc>
          <w:tcPr>
            <w:tcW w:w="4536" w:type="dxa"/>
          </w:tcPr>
          <w:p w:rsidR="00EC3EB9" w:rsidRPr="001E4740" w:rsidRDefault="00EC3EB9" w:rsidP="001E4740">
            <w:r w:rsidRPr="001E4740">
              <w:t xml:space="preserve">Lunch </w:t>
            </w:r>
          </w:p>
        </w:tc>
        <w:tc>
          <w:tcPr>
            <w:tcW w:w="3827" w:type="dxa"/>
          </w:tcPr>
          <w:p w:rsidR="00EC3EB9" w:rsidRPr="001E4740" w:rsidRDefault="00EC3EB9" w:rsidP="003F0FE2"/>
        </w:tc>
      </w:tr>
      <w:tr w:rsidR="00EC3EB9" w:rsidRPr="001E4740" w:rsidTr="00083211">
        <w:tc>
          <w:tcPr>
            <w:tcW w:w="1526" w:type="dxa"/>
          </w:tcPr>
          <w:p w:rsidR="00EC3EB9" w:rsidRPr="001E4740" w:rsidRDefault="00A95728" w:rsidP="00A95728">
            <w:r>
              <w:t>14</w:t>
            </w:r>
            <w:r w:rsidR="00EC3EB9" w:rsidRPr="001E4740">
              <w:t>:00-</w:t>
            </w:r>
            <w:r w:rsidR="002E1777">
              <w:t>17:</w:t>
            </w:r>
            <w:r>
              <w:t>00</w:t>
            </w:r>
          </w:p>
        </w:tc>
        <w:tc>
          <w:tcPr>
            <w:tcW w:w="4536" w:type="dxa"/>
          </w:tcPr>
          <w:p w:rsidR="00EC3EB9" w:rsidRPr="001E4740" w:rsidRDefault="00EC3EB9" w:rsidP="003F0FE2">
            <w:r w:rsidRPr="001E4740">
              <w:t>Study visit</w:t>
            </w:r>
          </w:p>
          <w:p w:rsidR="00EC3EB9" w:rsidRPr="001E4740" w:rsidRDefault="00EC3EB9" w:rsidP="003F0FE2">
            <w:r w:rsidRPr="001E4740">
              <w:t xml:space="preserve">Arrival </w:t>
            </w:r>
          </w:p>
        </w:tc>
        <w:tc>
          <w:tcPr>
            <w:tcW w:w="3827" w:type="dxa"/>
          </w:tcPr>
          <w:p w:rsidR="00EC3EB9" w:rsidRPr="001E4740" w:rsidRDefault="00EC3EB9" w:rsidP="003F0FE2"/>
        </w:tc>
      </w:tr>
    </w:tbl>
    <w:p w:rsidR="00B745B6" w:rsidRDefault="00B745B6" w:rsidP="00B745B6"/>
    <w:p w:rsidR="0036148D" w:rsidRDefault="0036148D" w:rsidP="00B745B6"/>
    <w:p w:rsidR="0036148D" w:rsidRPr="0036148D" w:rsidRDefault="0036148D" w:rsidP="0036148D">
      <w:pPr>
        <w:rPr>
          <w:i/>
        </w:rPr>
      </w:pPr>
      <w:r>
        <w:t>*</w:t>
      </w:r>
      <w:r w:rsidRPr="0036148D">
        <w:t xml:space="preserve"> </w:t>
      </w:r>
      <w:r w:rsidRPr="0036148D">
        <w:rPr>
          <w:i/>
        </w:rPr>
        <w:t>Travel and accommodation costs will be supported by each of the par</w:t>
      </w:r>
      <w:r>
        <w:rPr>
          <w:i/>
        </w:rPr>
        <w:t xml:space="preserve">ticipants. </w:t>
      </w:r>
    </w:p>
    <w:p w:rsidR="0036148D" w:rsidRPr="0036148D" w:rsidRDefault="0036148D" w:rsidP="00B745B6">
      <w:pPr>
        <w:rPr>
          <w:i/>
          <w:lang w:val="en-US"/>
        </w:rPr>
      </w:pPr>
    </w:p>
    <w:sectPr w:rsidR="0036148D" w:rsidRPr="0036148D" w:rsidSect="00022FDE">
      <w:footerReference w:type="default" r:id="rId7"/>
      <w:pgSz w:w="11906" w:h="16838"/>
      <w:pgMar w:top="1418" w:right="1134" w:bottom="68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A71" w:rsidRDefault="001B1A71" w:rsidP="00506473">
      <w:pPr>
        <w:spacing w:after="0" w:line="240" w:lineRule="auto"/>
      </w:pPr>
      <w:r>
        <w:separator/>
      </w:r>
    </w:p>
  </w:endnote>
  <w:endnote w:type="continuationSeparator" w:id="0">
    <w:p w:rsidR="001B1A71" w:rsidRDefault="001B1A71" w:rsidP="005064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727996"/>
      <w:docPartObj>
        <w:docPartGallery w:val="Page Numbers (Bottom of Page)"/>
        <w:docPartUnique/>
      </w:docPartObj>
    </w:sdtPr>
    <w:sdtEndPr>
      <w:rPr>
        <w:noProof/>
      </w:rPr>
    </w:sdtEndPr>
    <w:sdtContent>
      <w:p w:rsidR="00DA4A43" w:rsidRDefault="00DA4A43">
        <w:pPr>
          <w:pStyle w:val="Footer"/>
          <w:jc w:val="right"/>
        </w:pPr>
        <w:fldSimple w:instr=" PAGE   \* MERGEFORMAT ">
          <w:r w:rsidR="00386DCD">
            <w:rPr>
              <w:noProof/>
            </w:rPr>
            <w:t>5</w:t>
          </w:r>
        </w:fldSimple>
      </w:p>
    </w:sdtContent>
  </w:sdt>
  <w:p w:rsidR="00DA4A43" w:rsidRDefault="00DA4A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A71" w:rsidRDefault="001B1A71" w:rsidP="00506473">
      <w:pPr>
        <w:spacing w:after="0" w:line="240" w:lineRule="auto"/>
      </w:pPr>
      <w:r>
        <w:separator/>
      </w:r>
    </w:p>
  </w:footnote>
  <w:footnote w:type="continuationSeparator" w:id="0">
    <w:p w:rsidR="001B1A71" w:rsidRDefault="001B1A71" w:rsidP="005064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35536"/>
    <w:multiLevelType w:val="hybridMultilevel"/>
    <w:tmpl w:val="716E1C36"/>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
    <w:nsid w:val="192C5EDF"/>
    <w:multiLevelType w:val="hybridMultilevel"/>
    <w:tmpl w:val="D458F23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8C65DE2"/>
    <w:multiLevelType w:val="hybridMultilevel"/>
    <w:tmpl w:val="FCC835EC"/>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nsid w:val="2FCD7CCF"/>
    <w:multiLevelType w:val="hybridMultilevel"/>
    <w:tmpl w:val="AD5EA3D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nsid w:val="3119479A"/>
    <w:multiLevelType w:val="hybridMultilevel"/>
    <w:tmpl w:val="6052B6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2867F1B"/>
    <w:multiLevelType w:val="multilevel"/>
    <w:tmpl w:val="6ED416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32913230"/>
    <w:multiLevelType w:val="hybridMultilevel"/>
    <w:tmpl w:val="1E1C88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4F3B95"/>
    <w:multiLevelType w:val="hybridMultilevel"/>
    <w:tmpl w:val="0134A40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nsid w:val="43F30FA5"/>
    <w:multiLevelType w:val="hybridMultilevel"/>
    <w:tmpl w:val="C7E4085A"/>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9">
    <w:nsid w:val="540D2D9F"/>
    <w:multiLevelType w:val="hybridMultilevel"/>
    <w:tmpl w:val="BFE4396A"/>
    <w:lvl w:ilvl="0" w:tplc="04180001">
      <w:start w:val="1"/>
      <w:numFmt w:val="bullet"/>
      <w:lvlText w:val=""/>
      <w:lvlJc w:val="left"/>
      <w:pPr>
        <w:ind w:left="1800" w:hanging="360"/>
      </w:pPr>
      <w:rPr>
        <w:rFonts w:ascii="Symbol" w:hAnsi="Symbol" w:hint="default"/>
      </w:rPr>
    </w:lvl>
    <w:lvl w:ilvl="1" w:tplc="04180003">
      <w:start w:val="1"/>
      <w:numFmt w:val="bullet"/>
      <w:lvlText w:val="o"/>
      <w:lvlJc w:val="left"/>
      <w:pPr>
        <w:ind w:left="2520" w:hanging="360"/>
      </w:pPr>
      <w:rPr>
        <w:rFonts w:ascii="Courier New" w:hAnsi="Courier New" w:cs="Courier New" w:hint="default"/>
      </w:rPr>
    </w:lvl>
    <w:lvl w:ilvl="2" w:tplc="04180005">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0">
    <w:nsid w:val="5A9372F9"/>
    <w:multiLevelType w:val="hybridMultilevel"/>
    <w:tmpl w:val="F210CEDA"/>
    <w:lvl w:ilvl="0" w:tplc="04180001">
      <w:start w:val="1"/>
      <w:numFmt w:val="bullet"/>
      <w:lvlText w:val=""/>
      <w:lvlJc w:val="left"/>
      <w:pPr>
        <w:ind w:left="1800" w:hanging="360"/>
      </w:pPr>
      <w:rPr>
        <w:rFonts w:ascii="Symbol" w:hAnsi="Symbol" w:hint="default"/>
      </w:rPr>
    </w:lvl>
    <w:lvl w:ilvl="1" w:tplc="04180003">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1">
    <w:nsid w:val="5A9B2E2A"/>
    <w:multiLevelType w:val="hybridMultilevel"/>
    <w:tmpl w:val="68A4D6DC"/>
    <w:lvl w:ilvl="0" w:tplc="90D6D636">
      <w:numFmt w:val="bullet"/>
      <w:lvlText w:val=""/>
      <w:lvlJc w:val="left"/>
      <w:pPr>
        <w:ind w:left="1080" w:hanging="360"/>
      </w:pPr>
      <w:rPr>
        <w:rFonts w:ascii="Calibri" w:eastAsia="MS Mincho" w:hAnsi="Calibri" w:cs="Trebuchet M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nsid w:val="5E9C5C4D"/>
    <w:multiLevelType w:val="hybridMultilevel"/>
    <w:tmpl w:val="A67443C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2923B2F"/>
    <w:multiLevelType w:val="hybridMultilevel"/>
    <w:tmpl w:val="87C619B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4">
    <w:nsid w:val="7C202C15"/>
    <w:multiLevelType w:val="hybridMultilevel"/>
    <w:tmpl w:val="AACCFF1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nsid w:val="7C7D0D22"/>
    <w:multiLevelType w:val="hybridMultilevel"/>
    <w:tmpl w:val="201C4A5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nsid w:val="7F5D5D54"/>
    <w:multiLevelType w:val="hybridMultilevel"/>
    <w:tmpl w:val="847885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7F676F1E"/>
    <w:multiLevelType w:val="hybridMultilevel"/>
    <w:tmpl w:val="68CA95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7F831CD2"/>
    <w:multiLevelType w:val="hybridMultilevel"/>
    <w:tmpl w:val="398410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0"/>
  </w:num>
  <w:num w:numId="4">
    <w:abstractNumId w:val="9"/>
  </w:num>
  <w:num w:numId="5">
    <w:abstractNumId w:val="14"/>
  </w:num>
  <w:num w:numId="6">
    <w:abstractNumId w:val="3"/>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8"/>
  </w:num>
  <w:num w:numId="10">
    <w:abstractNumId w:val="16"/>
  </w:num>
  <w:num w:numId="11">
    <w:abstractNumId w:val="13"/>
  </w:num>
  <w:num w:numId="12">
    <w:abstractNumId w:val="11"/>
  </w:num>
  <w:num w:numId="13">
    <w:abstractNumId w:val="2"/>
  </w:num>
  <w:num w:numId="14">
    <w:abstractNumId w:val="17"/>
  </w:num>
  <w:num w:numId="15">
    <w:abstractNumId w:val="6"/>
  </w:num>
  <w:num w:numId="16">
    <w:abstractNumId w:val="12"/>
  </w:num>
  <w:num w:numId="17">
    <w:abstractNumId w:val="18"/>
  </w:num>
  <w:num w:numId="18">
    <w:abstractNumId w:val="7"/>
  </w:num>
  <w:num w:numId="19">
    <w:abstractNumId w:val="4"/>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hyphenationZone w:val="425"/>
  <w:characterSpacingControl w:val="doNotCompress"/>
  <w:footnotePr>
    <w:footnote w:id="-1"/>
    <w:footnote w:id="0"/>
  </w:footnotePr>
  <w:endnotePr>
    <w:endnote w:id="-1"/>
    <w:endnote w:id="0"/>
  </w:endnotePr>
  <w:compat/>
  <w:rsids>
    <w:rsidRoot w:val="000E580C"/>
    <w:rsid w:val="0000429C"/>
    <w:rsid w:val="00022FDE"/>
    <w:rsid w:val="00030A1C"/>
    <w:rsid w:val="00055C0B"/>
    <w:rsid w:val="00083211"/>
    <w:rsid w:val="000837DC"/>
    <w:rsid w:val="0008425A"/>
    <w:rsid w:val="000E580C"/>
    <w:rsid w:val="00102EF3"/>
    <w:rsid w:val="001578B7"/>
    <w:rsid w:val="00193DE7"/>
    <w:rsid w:val="001A60F1"/>
    <w:rsid w:val="001A6A55"/>
    <w:rsid w:val="001B1A71"/>
    <w:rsid w:val="001C1D0B"/>
    <w:rsid w:val="001C5A98"/>
    <w:rsid w:val="001C621A"/>
    <w:rsid w:val="001C68D6"/>
    <w:rsid w:val="001C7417"/>
    <w:rsid w:val="001D2C6D"/>
    <w:rsid w:val="001D2D7B"/>
    <w:rsid w:val="001E4740"/>
    <w:rsid w:val="001E5FA1"/>
    <w:rsid w:val="001F1F37"/>
    <w:rsid w:val="001F23EC"/>
    <w:rsid w:val="0020785E"/>
    <w:rsid w:val="00237B4D"/>
    <w:rsid w:val="00244A6E"/>
    <w:rsid w:val="00252754"/>
    <w:rsid w:val="00264239"/>
    <w:rsid w:val="00294388"/>
    <w:rsid w:val="002A3BC3"/>
    <w:rsid w:val="002A50EE"/>
    <w:rsid w:val="002A7048"/>
    <w:rsid w:val="002B4B9A"/>
    <w:rsid w:val="002C7E53"/>
    <w:rsid w:val="002D44CA"/>
    <w:rsid w:val="002D7DA3"/>
    <w:rsid w:val="002E1777"/>
    <w:rsid w:val="002E1F47"/>
    <w:rsid w:val="002F6660"/>
    <w:rsid w:val="00324601"/>
    <w:rsid w:val="00340FF9"/>
    <w:rsid w:val="0036148D"/>
    <w:rsid w:val="00371EE4"/>
    <w:rsid w:val="00373D3C"/>
    <w:rsid w:val="00386DCD"/>
    <w:rsid w:val="003B624A"/>
    <w:rsid w:val="003C0584"/>
    <w:rsid w:val="003F0FE2"/>
    <w:rsid w:val="003F14B7"/>
    <w:rsid w:val="00412FEC"/>
    <w:rsid w:val="0043153C"/>
    <w:rsid w:val="00485FF2"/>
    <w:rsid w:val="004B2F6B"/>
    <w:rsid w:val="004C0316"/>
    <w:rsid w:val="004E1615"/>
    <w:rsid w:val="00506473"/>
    <w:rsid w:val="00523627"/>
    <w:rsid w:val="005317FD"/>
    <w:rsid w:val="005342F3"/>
    <w:rsid w:val="005352C6"/>
    <w:rsid w:val="0053699D"/>
    <w:rsid w:val="00556DE7"/>
    <w:rsid w:val="005E4E4A"/>
    <w:rsid w:val="005E5182"/>
    <w:rsid w:val="005E52BF"/>
    <w:rsid w:val="005F3DC3"/>
    <w:rsid w:val="00640A96"/>
    <w:rsid w:val="006771BC"/>
    <w:rsid w:val="006840FB"/>
    <w:rsid w:val="00686E92"/>
    <w:rsid w:val="006A6DE0"/>
    <w:rsid w:val="006A7E12"/>
    <w:rsid w:val="006B713A"/>
    <w:rsid w:val="006C2799"/>
    <w:rsid w:val="006D4BA9"/>
    <w:rsid w:val="006E4145"/>
    <w:rsid w:val="006F7B19"/>
    <w:rsid w:val="00711158"/>
    <w:rsid w:val="00717254"/>
    <w:rsid w:val="00751487"/>
    <w:rsid w:val="007609BE"/>
    <w:rsid w:val="00797E1D"/>
    <w:rsid w:val="007D5A9E"/>
    <w:rsid w:val="0087067A"/>
    <w:rsid w:val="0088317A"/>
    <w:rsid w:val="00892160"/>
    <w:rsid w:val="008A2C73"/>
    <w:rsid w:val="00903A8E"/>
    <w:rsid w:val="00911015"/>
    <w:rsid w:val="0099658F"/>
    <w:rsid w:val="009A4677"/>
    <w:rsid w:val="009B2889"/>
    <w:rsid w:val="009C054F"/>
    <w:rsid w:val="009D122D"/>
    <w:rsid w:val="009D38A3"/>
    <w:rsid w:val="009E01FC"/>
    <w:rsid w:val="00A4289F"/>
    <w:rsid w:val="00A74B5D"/>
    <w:rsid w:val="00A76628"/>
    <w:rsid w:val="00A95728"/>
    <w:rsid w:val="00AB1AFD"/>
    <w:rsid w:val="00AF7BC6"/>
    <w:rsid w:val="00B13F8D"/>
    <w:rsid w:val="00B15F56"/>
    <w:rsid w:val="00B60ECC"/>
    <w:rsid w:val="00B67FBA"/>
    <w:rsid w:val="00B713DE"/>
    <w:rsid w:val="00B745B6"/>
    <w:rsid w:val="00B7611C"/>
    <w:rsid w:val="00BB01E2"/>
    <w:rsid w:val="00BD5F95"/>
    <w:rsid w:val="00BF1F31"/>
    <w:rsid w:val="00C51E21"/>
    <w:rsid w:val="00C66F7C"/>
    <w:rsid w:val="00C82E40"/>
    <w:rsid w:val="00C9135E"/>
    <w:rsid w:val="00C93A90"/>
    <w:rsid w:val="00CC4797"/>
    <w:rsid w:val="00CE3009"/>
    <w:rsid w:val="00CF18A2"/>
    <w:rsid w:val="00D244DF"/>
    <w:rsid w:val="00D318F7"/>
    <w:rsid w:val="00D5755C"/>
    <w:rsid w:val="00D97EDA"/>
    <w:rsid w:val="00DA4A43"/>
    <w:rsid w:val="00DA5A9D"/>
    <w:rsid w:val="00DC2BAA"/>
    <w:rsid w:val="00DD2FD9"/>
    <w:rsid w:val="00DD7311"/>
    <w:rsid w:val="00DE57A3"/>
    <w:rsid w:val="00DE7FBC"/>
    <w:rsid w:val="00E21F7C"/>
    <w:rsid w:val="00E42EB8"/>
    <w:rsid w:val="00E76F3A"/>
    <w:rsid w:val="00E8247C"/>
    <w:rsid w:val="00E96B8C"/>
    <w:rsid w:val="00EA17F9"/>
    <w:rsid w:val="00EA2F48"/>
    <w:rsid w:val="00EB253D"/>
    <w:rsid w:val="00EC3EB9"/>
    <w:rsid w:val="00ED0356"/>
    <w:rsid w:val="00EE2B02"/>
    <w:rsid w:val="00F01CA7"/>
    <w:rsid w:val="00F051E4"/>
    <w:rsid w:val="00F06DC4"/>
    <w:rsid w:val="00F16281"/>
    <w:rsid w:val="00F22446"/>
    <w:rsid w:val="00F32E18"/>
    <w:rsid w:val="00F4063C"/>
    <w:rsid w:val="00F43559"/>
    <w:rsid w:val="00F81985"/>
    <w:rsid w:val="00F95E2D"/>
    <w:rsid w:val="00F961BD"/>
    <w:rsid w:val="00F97C9E"/>
    <w:rsid w:val="00FB76C8"/>
    <w:rsid w:val="00FC00D5"/>
    <w:rsid w:val="00FD51E7"/>
    <w:rsid w:val="00FE43F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4C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E580C"/>
    <w:pPr>
      <w:spacing w:after="120"/>
      <w:ind w:left="720"/>
      <w:jc w:val="both"/>
    </w:pPr>
    <w:rPr>
      <w:rFonts w:ascii="Trebuchet MS" w:eastAsia="MS Mincho" w:hAnsi="Trebuchet MS" w:cs="Trebuchet MS"/>
      <w:lang w:val="en-US"/>
    </w:rPr>
  </w:style>
  <w:style w:type="character" w:customStyle="1" w:styleId="ListParagraphChar">
    <w:name w:val="List Paragraph Char"/>
    <w:basedOn w:val="DefaultParagraphFont"/>
    <w:link w:val="ListParagraph"/>
    <w:uiPriority w:val="34"/>
    <w:locked/>
    <w:rsid w:val="000E580C"/>
    <w:rPr>
      <w:rFonts w:ascii="Trebuchet MS" w:eastAsia="MS Mincho" w:hAnsi="Trebuchet MS" w:cs="Trebuchet MS"/>
      <w:lang w:val="en-US"/>
    </w:rPr>
  </w:style>
  <w:style w:type="paragraph" w:customStyle="1" w:styleId="Default">
    <w:name w:val="Default"/>
    <w:rsid w:val="00F4063C"/>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F4063C"/>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F4063C"/>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06473"/>
    <w:pPr>
      <w:tabs>
        <w:tab w:val="center" w:pos="4536"/>
        <w:tab w:val="right" w:pos="9072"/>
      </w:tabs>
      <w:spacing w:after="0" w:line="240" w:lineRule="auto"/>
    </w:pPr>
  </w:style>
  <w:style w:type="character" w:customStyle="1" w:styleId="HeaderChar">
    <w:name w:val="Header Char"/>
    <w:basedOn w:val="DefaultParagraphFont"/>
    <w:link w:val="Header"/>
    <w:uiPriority w:val="99"/>
    <w:rsid w:val="00506473"/>
  </w:style>
  <w:style w:type="paragraph" w:styleId="Footer">
    <w:name w:val="footer"/>
    <w:basedOn w:val="Normal"/>
    <w:link w:val="FooterChar"/>
    <w:uiPriority w:val="99"/>
    <w:unhideWhenUsed/>
    <w:rsid w:val="00506473"/>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6473"/>
  </w:style>
  <w:style w:type="table" w:styleId="TableGrid">
    <w:name w:val="Table Grid"/>
    <w:basedOn w:val="TableNormal"/>
    <w:uiPriority w:val="59"/>
    <w:rsid w:val="00B745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2F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F6B"/>
    <w:rPr>
      <w:rFonts w:ascii="Tahoma" w:hAnsi="Tahoma" w:cs="Tahoma"/>
      <w:sz w:val="16"/>
      <w:szCs w:val="16"/>
    </w:rPr>
  </w:style>
  <w:style w:type="character" w:styleId="CommentReference">
    <w:name w:val="annotation reference"/>
    <w:basedOn w:val="DefaultParagraphFont"/>
    <w:uiPriority w:val="99"/>
    <w:semiHidden/>
    <w:unhideWhenUsed/>
    <w:rsid w:val="00F06DC4"/>
    <w:rPr>
      <w:sz w:val="16"/>
      <w:szCs w:val="16"/>
    </w:rPr>
  </w:style>
  <w:style w:type="paragraph" w:styleId="CommentText">
    <w:name w:val="annotation text"/>
    <w:basedOn w:val="Normal"/>
    <w:link w:val="CommentTextChar"/>
    <w:uiPriority w:val="99"/>
    <w:semiHidden/>
    <w:unhideWhenUsed/>
    <w:rsid w:val="00F06DC4"/>
    <w:pPr>
      <w:spacing w:line="240" w:lineRule="auto"/>
    </w:pPr>
    <w:rPr>
      <w:sz w:val="20"/>
      <w:szCs w:val="20"/>
    </w:rPr>
  </w:style>
  <w:style w:type="character" w:customStyle="1" w:styleId="CommentTextChar">
    <w:name w:val="Comment Text Char"/>
    <w:basedOn w:val="DefaultParagraphFont"/>
    <w:link w:val="CommentText"/>
    <w:uiPriority w:val="99"/>
    <w:semiHidden/>
    <w:rsid w:val="00F06DC4"/>
    <w:rPr>
      <w:sz w:val="20"/>
      <w:szCs w:val="20"/>
    </w:rPr>
  </w:style>
  <w:style w:type="paragraph" w:styleId="CommentSubject">
    <w:name w:val="annotation subject"/>
    <w:basedOn w:val="CommentText"/>
    <w:next w:val="CommentText"/>
    <w:link w:val="CommentSubjectChar"/>
    <w:uiPriority w:val="99"/>
    <w:semiHidden/>
    <w:unhideWhenUsed/>
    <w:rsid w:val="00F06DC4"/>
    <w:rPr>
      <w:b/>
      <w:bCs/>
    </w:rPr>
  </w:style>
  <w:style w:type="character" w:customStyle="1" w:styleId="CommentSubjectChar">
    <w:name w:val="Comment Subject Char"/>
    <w:basedOn w:val="CommentTextChar"/>
    <w:link w:val="CommentSubject"/>
    <w:uiPriority w:val="99"/>
    <w:semiHidden/>
    <w:rsid w:val="00F06DC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E580C"/>
    <w:pPr>
      <w:spacing w:after="120"/>
      <w:ind w:left="720"/>
      <w:jc w:val="both"/>
    </w:pPr>
    <w:rPr>
      <w:rFonts w:ascii="Trebuchet MS" w:eastAsia="MS Mincho" w:hAnsi="Trebuchet MS" w:cs="Trebuchet MS"/>
      <w:lang w:val="en-US"/>
    </w:rPr>
  </w:style>
  <w:style w:type="character" w:customStyle="1" w:styleId="ListParagraphChar">
    <w:name w:val="List Paragraph Char"/>
    <w:basedOn w:val="DefaultParagraphFont"/>
    <w:link w:val="ListParagraph"/>
    <w:uiPriority w:val="34"/>
    <w:locked/>
    <w:rsid w:val="000E580C"/>
    <w:rPr>
      <w:rFonts w:ascii="Trebuchet MS" w:eastAsia="MS Mincho" w:hAnsi="Trebuchet MS" w:cs="Trebuchet MS"/>
      <w:lang w:val="en-US"/>
    </w:rPr>
  </w:style>
  <w:style w:type="paragraph" w:customStyle="1" w:styleId="Default">
    <w:name w:val="Default"/>
    <w:rsid w:val="00F4063C"/>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F4063C"/>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F4063C"/>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06473"/>
    <w:pPr>
      <w:tabs>
        <w:tab w:val="center" w:pos="4536"/>
        <w:tab w:val="right" w:pos="9072"/>
      </w:tabs>
      <w:spacing w:after="0" w:line="240" w:lineRule="auto"/>
    </w:pPr>
  </w:style>
  <w:style w:type="character" w:customStyle="1" w:styleId="HeaderChar">
    <w:name w:val="Header Char"/>
    <w:basedOn w:val="DefaultParagraphFont"/>
    <w:link w:val="Header"/>
    <w:uiPriority w:val="99"/>
    <w:rsid w:val="00506473"/>
  </w:style>
  <w:style w:type="paragraph" w:styleId="Footer">
    <w:name w:val="footer"/>
    <w:basedOn w:val="Normal"/>
    <w:link w:val="FooterChar"/>
    <w:uiPriority w:val="99"/>
    <w:unhideWhenUsed/>
    <w:rsid w:val="00506473"/>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6473"/>
  </w:style>
  <w:style w:type="table" w:styleId="TableGrid">
    <w:name w:val="Table Grid"/>
    <w:basedOn w:val="TableNormal"/>
    <w:uiPriority w:val="59"/>
    <w:rsid w:val="00B745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2F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F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8529378">
      <w:bodyDiv w:val="1"/>
      <w:marLeft w:val="0"/>
      <w:marRight w:val="0"/>
      <w:marTop w:val="0"/>
      <w:marBottom w:val="0"/>
      <w:divBdr>
        <w:top w:val="none" w:sz="0" w:space="0" w:color="auto"/>
        <w:left w:val="none" w:sz="0" w:space="0" w:color="auto"/>
        <w:bottom w:val="none" w:sz="0" w:space="0" w:color="auto"/>
        <w:right w:val="none" w:sz="0" w:space="0" w:color="auto"/>
      </w:divBdr>
    </w:div>
    <w:div w:id="1496991597">
      <w:bodyDiv w:val="1"/>
      <w:marLeft w:val="0"/>
      <w:marRight w:val="0"/>
      <w:marTop w:val="0"/>
      <w:marBottom w:val="0"/>
      <w:divBdr>
        <w:top w:val="none" w:sz="0" w:space="0" w:color="auto"/>
        <w:left w:val="none" w:sz="0" w:space="0" w:color="auto"/>
        <w:bottom w:val="none" w:sz="0" w:space="0" w:color="auto"/>
        <w:right w:val="none" w:sz="0" w:space="0" w:color="auto"/>
      </w:divBdr>
    </w:div>
    <w:div w:id="1686439300">
      <w:bodyDiv w:val="1"/>
      <w:marLeft w:val="0"/>
      <w:marRight w:val="0"/>
      <w:marTop w:val="0"/>
      <w:marBottom w:val="0"/>
      <w:divBdr>
        <w:top w:val="none" w:sz="0" w:space="0" w:color="auto"/>
        <w:left w:val="none" w:sz="0" w:space="0" w:color="auto"/>
        <w:bottom w:val="none" w:sz="0" w:space="0" w:color="auto"/>
        <w:right w:val="none" w:sz="0" w:space="0" w:color="auto"/>
      </w:divBdr>
      <w:divsChild>
        <w:div w:id="1738242479">
          <w:marLeft w:val="0"/>
          <w:marRight w:val="0"/>
          <w:marTop w:val="0"/>
          <w:marBottom w:val="0"/>
          <w:divBdr>
            <w:top w:val="none" w:sz="0" w:space="0" w:color="auto"/>
            <w:left w:val="none" w:sz="0" w:space="0" w:color="auto"/>
            <w:bottom w:val="none" w:sz="0" w:space="0" w:color="auto"/>
            <w:right w:val="none" w:sz="0" w:space="0" w:color="auto"/>
          </w:divBdr>
          <w:divsChild>
            <w:div w:id="1187064020">
              <w:marLeft w:val="0"/>
              <w:marRight w:val="0"/>
              <w:marTop w:val="0"/>
              <w:marBottom w:val="0"/>
              <w:divBdr>
                <w:top w:val="none" w:sz="0" w:space="0" w:color="auto"/>
                <w:left w:val="none" w:sz="0" w:space="0" w:color="auto"/>
                <w:bottom w:val="none" w:sz="0" w:space="0" w:color="auto"/>
                <w:right w:val="none" w:sz="0" w:space="0" w:color="auto"/>
              </w:divBdr>
              <w:divsChild>
                <w:div w:id="897667688">
                  <w:marLeft w:val="0"/>
                  <w:marRight w:val="0"/>
                  <w:marTop w:val="0"/>
                  <w:marBottom w:val="0"/>
                  <w:divBdr>
                    <w:top w:val="none" w:sz="0" w:space="0" w:color="auto"/>
                    <w:left w:val="none" w:sz="0" w:space="0" w:color="auto"/>
                    <w:bottom w:val="none" w:sz="0" w:space="0" w:color="auto"/>
                    <w:right w:val="none" w:sz="0" w:space="0" w:color="auto"/>
                  </w:divBdr>
                  <w:divsChild>
                    <w:div w:id="1928688342">
                      <w:marLeft w:val="0"/>
                      <w:marRight w:val="0"/>
                      <w:marTop w:val="0"/>
                      <w:marBottom w:val="0"/>
                      <w:divBdr>
                        <w:top w:val="none" w:sz="0" w:space="0" w:color="auto"/>
                        <w:left w:val="none" w:sz="0" w:space="0" w:color="auto"/>
                        <w:bottom w:val="none" w:sz="0" w:space="0" w:color="auto"/>
                        <w:right w:val="none" w:sz="0" w:space="0" w:color="auto"/>
                      </w:divBdr>
                      <w:divsChild>
                        <w:div w:id="17604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8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1964</Words>
  <Characters>11200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dc:creator>
  <cp:lastModifiedBy>floreamihaela</cp:lastModifiedBy>
  <cp:revision>2</cp:revision>
  <cp:lastPrinted>2016-11-01T13:22:00Z</cp:lastPrinted>
  <dcterms:created xsi:type="dcterms:W3CDTF">2016-11-01T14:55:00Z</dcterms:created>
  <dcterms:modified xsi:type="dcterms:W3CDTF">2016-11-01T14:55:00Z</dcterms:modified>
</cp:coreProperties>
</file>